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B0712">
      <w:pPr>
        <w:pageBreakBefore w:val="0"/>
        <w:widowControl w:val="0"/>
        <w:kinsoku/>
        <w:overflowPunct/>
        <w:topLinePunct w:val="0"/>
        <w:autoSpaceDE/>
        <w:autoSpaceDN/>
        <w:bidi w:val="0"/>
        <w:adjustRightInd w:val="0"/>
        <w:snapToGrid w:val="0"/>
        <w:spacing w:before="437" w:beforeLines="100" w:after="437" w:afterLines="100" w:line="578"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海南省财金集团有限公司</w:t>
      </w:r>
    </w:p>
    <w:p w14:paraId="71037C94">
      <w:pPr>
        <w:pageBreakBefore w:val="0"/>
        <w:widowControl w:val="0"/>
        <w:kinsoku/>
        <w:overflowPunct/>
        <w:topLinePunct w:val="0"/>
        <w:autoSpaceDE/>
        <w:autoSpaceDN/>
        <w:bidi w:val="0"/>
        <w:adjustRightInd w:val="0"/>
        <w:snapToGrid w:val="0"/>
        <w:spacing w:before="437" w:beforeLines="100" w:after="437" w:afterLines="100" w:line="578"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法律服务类中介机构入库公告</w:t>
      </w:r>
    </w:p>
    <w:p w14:paraId="172399D0">
      <w:pPr>
        <w:pageBreakBefore w:val="0"/>
        <w:widowControl w:val="0"/>
        <w:kinsoku/>
        <w:overflowPunct/>
        <w:topLinePunct w:val="0"/>
        <w:autoSpaceDE/>
        <w:autoSpaceDN/>
        <w:bidi w:val="0"/>
        <w:adjustRightInd w:val="0"/>
        <w:snapToGrid w:val="0"/>
        <w:spacing w:before="437" w:beforeLines="100" w:after="437" w:afterLines="100" w:line="578"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14:paraId="159FBBCD">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eastAsia="zh-CN"/>
        </w:rPr>
      </w:pPr>
      <w:r>
        <w:rPr>
          <w:rFonts w:hint="eastAsia" w:ascii="仿宋_GB2312" w:hAnsi="宋体" w:eastAsia="仿宋_GB2312"/>
          <w:lang w:eastAsia="zh-CN"/>
        </w:rPr>
        <w:t>海南省财金集团有限公司（</w:t>
      </w:r>
      <w:r>
        <w:rPr>
          <w:rFonts w:hint="eastAsia" w:ascii="仿宋_GB2312" w:hAnsi="宋体" w:eastAsia="仿宋_GB2312"/>
          <w:lang w:val="en-US" w:eastAsia="zh-CN"/>
        </w:rPr>
        <w:t>以下</w:t>
      </w:r>
      <w:r>
        <w:rPr>
          <w:rFonts w:hint="eastAsia" w:ascii="仿宋_GB2312" w:hAnsi="宋体" w:eastAsia="仿宋_GB2312"/>
          <w:lang w:eastAsia="zh-CN"/>
        </w:rPr>
        <w:t>简称海南财金集团）</w:t>
      </w:r>
      <w:r>
        <w:rPr>
          <w:rFonts w:hint="eastAsia" w:ascii="仿宋_GB2312" w:hAnsi="宋体" w:eastAsia="仿宋_GB2312"/>
          <w:lang w:val="en-US" w:eastAsia="zh-CN"/>
        </w:rPr>
        <w:t>是</w:t>
      </w:r>
      <w:r>
        <w:rPr>
          <w:rFonts w:hint="eastAsia" w:ascii="仿宋_GB2312" w:hAnsi="宋体" w:eastAsia="仿宋_GB2312"/>
          <w:lang w:eastAsia="zh-CN"/>
        </w:rPr>
        <w:t>由海南省</w:t>
      </w:r>
      <w:r>
        <w:rPr>
          <w:rFonts w:hint="eastAsia" w:ascii="仿宋_GB2312" w:hAnsi="宋体" w:eastAsia="仿宋_GB2312"/>
          <w:lang w:val="en-US" w:eastAsia="zh-CN"/>
        </w:rPr>
        <w:t>省级</w:t>
      </w:r>
      <w:r>
        <w:rPr>
          <w:rFonts w:hint="eastAsia" w:ascii="仿宋_GB2312" w:hAnsi="宋体" w:eastAsia="仿宋_GB2312"/>
          <w:lang w:eastAsia="zh-CN"/>
        </w:rPr>
        <w:t>财政</w:t>
      </w:r>
      <w:r>
        <w:rPr>
          <w:rFonts w:hint="eastAsia" w:ascii="仿宋_GB2312" w:hAnsi="宋体" w:eastAsia="仿宋_GB2312"/>
          <w:lang w:val="en-US" w:eastAsia="zh-CN"/>
        </w:rPr>
        <w:t>全额出资100亿元设立</w:t>
      </w:r>
      <w:r>
        <w:rPr>
          <w:rFonts w:hint="eastAsia" w:ascii="仿宋_GB2312" w:hAnsi="宋体" w:eastAsia="仿宋_GB2312"/>
          <w:lang w:eastAsia="zh-CN"/>
        </w:rPr>
        <w:t>，</w:t>
      </w:r>
      <w:r>
        <w:rPr>
          <w:rFonts w:hint="eastAsia" w:ascii="仿宋_GB2312" w:hAnsi="宋体" w:eastAsia="仿宋_GB2312"/>
          <w:lang w:val="en-US" w:eastAsia="zh-CN"/>
        </w:rPr>
        <w:t>致力打造集</w:t>
      </w:r>
      <w:r>
        <w:rPr>
          <w:rFonts w:hint="eastAsia" w:ascii="仿宋_GB2312" w:hAnsi="宋体" w:eastAsia="仿宋_GB2312"/>
          <w:lang w:eastAsia="zh-CN"/>
        </w:rPr>
        <w:t>政府投资基金管理、金融股权投资和金融创新服务</w:t>
      </w:r>
      <w:r>
        <w:rPr>
          <w:rFonts w:hint="eastAsia" w:ascii="仿宋_GB2312" w:hAnsi="宋体" w:eastAsia="仿宋_GB2312"/>
          <w:lang w:val="en-US" w:eastAsia="zh-CN"/>
        </w:rPr>
        <w:t>三位一体的国有金融资本投资管理平台。</w:t>
      </w:r>
      <w:r>
        <w:rPr>
          <w:rFonts w:hint="eastAsia" w:ascii="仿宋_GB2312" w:hAnsi="宋体" w:eastAsia="仿宋_GB2312"/>
          <w:lang w:eastAsia="zh-CN"/>
        </w:rPr>
        <w:t>为适应业务发展需要，</w:t>
      </w:r>
      <w:r>
        <w:rPr>
          <w:rFonts w:hint="eastAsia" w:ascii="仿宋_GB2312" w:hAnsi="宋体" w:eastAsia="仿宋_GB2312"/>
          <w:lang w:val="en-US" w:eastAsia="zh-CN"/>
        </w:rPr>
        <w:t>拟增加法律服务类</w:t>
      </w:r>
      <w:r>
        <w:rPr>
          <w:rFonts w:hint="eastAsia" w:ascii="仿宋_GB2312" w:hAnsi="宋体" w:eastAsia="仿宋_GB2312"/>
          <w:lang w:eastAsia="zh-CN"/>
        </w:rPr>
        <w:t>中介机构库</w:t>
      </w:r>
      <w:r>
        <w:rPr>
          <w:rFonts w:hint="eastAsia" w:ascii="仿宋_GB2312" w:hAnsi="宋体" w:eastAsia="仿宋_GB2312"/>
          <w:lang w:val="en-US" w:eastAsia="zh-CN"/>
        </w:rPr>
        <w:t>中成员单位数量</w:t>
      </w:r>
      <w:r>
        <w:rPr>
          <w:rFonts w:hint="eastAsia" w:ascii="仿宋_GB2312" w:hAnsi="宋体" w:eastAsia="仿宋_GB2312"/>
          <w:lang w:eastAsia="zh-CN"/>
        </w:rPr>
        <w:t>，</w:t>
      </w:r>
      <w:r>
        <w:rPr>
          <w:rFonts w:hint="eastAsia" w:ascii="仿宋_GB2312" w:hAnsi="宋体" w:eastAsia="仿宋_GB2312"/>
          <w:lang w:val="en-US" w:eastAsia="zh-CN"/>
        </w:rPr>
        <w:t>现</w:t>
      </w:r>
      <w:r>
        <w:rPr>
          <w:rFonts w:hint="eastAsia" w:ascii="仿宋_GB2312" w:hAnsi="宋体" w:eastAsia="仿宋_GB2312"/>
          <w:lang w:eastAsia="zh-CN"/>
        </w:rPr>
        <w:t>面向社会公开选择入库律师事务所</w:t>
      </w:r>
      <w:r>
        <w:rPr>
          <w:rFonts w:hint="eastAsia" w:ascii="仿宋_GB2312" w:hAnsi="宋体" w:eastAsia="仿宋_GB2312"/>
          <w:lang w:val="en-US" w:eastAsia="zh-CN"/>
        </w:rPr>
        <w:t>与律师团队</w:t>
      </w:r>
      <w:r>
        <w:rPr>
          <w:rFonts w:hint="eastAsia" w:ascii="仿宋_GB2312" w:hAnsi="宋体" w:eastAsia="仿宋_GB2312"/>
          <w:lang w:eastAsia="zh-CN"/>
        </w:rPr>
        <w:t>。</w:t>
      </w:r>
    </w:p>
    <w:p w14:paraId="678222B9">
      <w:pPr>
        <w:keepNext w:val="0"/>
        <w:keepLines w:val="0"/>
        <w:pageBreakBefore w:val="0"/>
        <w:widowControl w:val="0"/>
        <w:numPr>
          <w:ilvl w:val="0"/>
          <w:numId w:val="1"/>
        </w:numPr>
        <w:kinsoku/>
        <w:wordWrap/>
        <w:overflowPunct/>
        <w:topLinePunct w:val="0"/>
        <w:autoSpaceDE/>
        <w:autoSpaceDN/>
        <w:bidi w:val="0"/>
        <w:adjustRightInd/>
        <w:snapToGrid/>
        <w:spacing w:before="437" w:beforeLines="100" w:after="437" w:afterLines="100" w:line="578" w:lineRule="exact"/>
        <w:ind w:left="0" w:leftChars="0" w:firstLine="0" w:firstLineChars="0"/>
        <w:jc w:val="center"/>
        <w:textAlignment w:val="auto"/>
        <w:rPr>
          <w:rFonts w:hint="eastAsia" w:ascii="黑体" w:hAnsi="黑体" w:eastAsia="黑体" w:cs="黑体"/>
          <w:kern w:val="2"/>
          <w:sz w:val="36"/>
          <w:szCs w:val="36"/>
          <w:highlight w:val="none"/>
          <w:lang w:val="en-US" w:eastAsia="zh-CN"/>
        </w:rPr>
      </w:pPr>
      <w:r>
        <w:rPr>
          <w:rFonts w:hint="eastAsia" w:ascii="黑体" w:hAnsi="黑体" w:eastAsia="黑体" w:cs="黑体"/>
          <w:kern w:val="2"/>
          <w:sz w:val="36"/>
          <w:szCs w:val="36"/>
          <w:highlight w:val="none"/>
          <w:lang w:val="en-US" w:eastAsia="zh-CN"/>
        </w:rPr>
        <w:t>情况说明</w:t>
      </w:r>
    </w:p>
    <w:p w14:paraId="363765A4">
      <w:pPr>
        <w:pStyle w:val="3"/>
        <w:keepNext/>
        <w:keepLines/>
        <w:pageBreakBefore w:val="0"/>
        <w:widowControl/>
        <w:numPr>
          <w:ilvl w:val="0"/>
          <w:numId w:val="2"/>
        </w:numPr>
        <w:kinsoku/>
        <w:wordWrap/>
        <w:overflowPunct/>
        <w:topLinePunct w:val="0"/>
        <w:autoSpaceDE/>
        <w:autoSpaceDN/>
        <w:bidi w:val="0"/>
        <w:adjustRightInd/>
        <w:snapToGrid/>
        <w:spacing w:before="437" w:beforeLines="100" w:after="0" w:line="578" w:lineRule="exact"/>
        <w:ind w:firstLine="640" w:firstLineChars="200"/>
        <w:jc w:val="left"/>
        <w:textAlignment w:val="auto"/>
        <w:rPr>
          <w:rFonts w:ascii="黑体" w:hAnsi="黑体" w:eastAsia="黑体" w:cs="黑体"/>
          <w:b w:val="0"/>
          <w:bCs w:val="0"/>
          <w:sz w:val="32"/>
          <w:szCs w:val="32"/>
          <w:lang w:val="en-US"/>
        </w:rPr>
      </w:pPr>
      <w:r>
        <w:rPr>
          <w:rFonts w:hint="eastAsia" w:ascii="黑体" w:hAnsi="黑体" w:eastAsia="黑体" w:cs="黑体"/>
          <w:b w:val="0"/>
          <w:bCs w:val="0"/>
          <w:sz w:val="32"/>
          <w:szCs w:val="32"/>
          <w:lang w:val="en-US"/>
        </w:rPr>
        <w:t>项目概况</w:t>
      </w:r>
    </w:p>
    <w:p w14:paraId="51C76280">
      <w:pPr>
        <w:pageBreakBefore w:val="0"/>
        <w:widowControl w:val="0"/>
        <w:tabs>
          <w:tab w:val="left" w:pos="142"/>
        </w:tabs>
        <w:kinsoku/>
        <w:overflowPunct/>
        <w:topLinePunct w:val="0"/>
        <w:autoSpaceDE/>
        <w:autoSpaceDN/>
        <w:bidi w:val="0"/>
        <w:spacing w:after="0" w:line="578" w:lineRule="exact"/>
        <w:ind w:firstLine="640"/>
        <w:jc w:val="both"/>
        <w:textAlignment w:val="auto"/>
        <w:rPr>
          <w:rFonts w:ascii="楷体" w:hAnsi="楷体" w:eastAsia="楷体" w:cs="楷体"/>
          <w:lang w:eastAsia="zh-CN"/>
        </w:rPr>
      </w:pPr>
      <w:r>
        <w:rPr>
          <w:rFonts w:hint="eastAsia" w:ascii="楷体" w:hAnsi="楷体" w:eastAsia="楷体" w:cs="楷体"/>
          <w:lang w:eastAsia="zh-CN"/>
        </w:rPr>
        <w:t>（一）项目名称</w:t>
      </w:r>
    </w:p>
    <w:p w14:paraId="294ACB6B">
      <w:pPr>
        <w:pageBreakBefore w:val="0"/>
        <w:widowControl w:val="0"/>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海南财金集团</w:t>
      </w:r>
      <w:r>
        <w:rPr>
          <w:rFonts w:hint="eastAsia" w:ascii="仿宋_GB2312" w:hAnsi="宋体" w:eastAsia="仿宋_GB2312"/>
          <w:lang w:val="en-US" w:eastAsia="zh-CN"/>
        </w:rPr>
        <w:t>法律服务类</w:t>
      </w:r>
      <w:r>
        <w:rPr>
          <w:rFonts w:hint="eastAsia" w:ascii="仿宋_GB2312" w:hAnsi="宋体" w:eastAsia="仿宋_GB2312"/>
          <w:lang w:eastAsia="zh-CN"/>
        </w:rPr>
        <w:t>中介机构备选库入库比选项目。</w:t>
      </w:r>
    </w:p>
    <w:p w14:paraId="13D6520B">
      <w:pPr>
        <w:pageBreakBefore w:val="0"/>
        <w:widowControl w:val="0"/>
        <w:tabs>
          <w:tab w:val="left" w:pos="142"/>
        </w:tabs>
        <w:kinsoku/>
        <w:overflowPunct/>
        <w:topLinePunct w:val="0"/>
        <w:autoSpaceDE/>
        <w:autoSpaceDN/>
        <w:bidi w:val="0"/>
        <w:spacing w:after="0" w:line="578" w:lineRule="exact"/>
        <w:ind w:firstLine="640"/>
        <w:jc w:val="both"/>
        <w:textAlignment w:val="auto"/>
        <w:rPr>
          <w:rFonts w:ascii="楷体" w:hAnsi="楷体" w:eastAsia="楷体" w:cs="楷体"/>
          <w:lang w:eastAsia="zh-CN"/>
        </w:rPr>
      </w:pPr>
      <w:r>
        <w:rPr>
          <w:rFonts w:hint="eastAsia" w:ascii="楷体" w:hAnsi="楷体" w:eastAsia="楷体" w:cs="楷体"/>
          <w:lang w:eastAsia="zh-CN"/>
        </w:rPr>
        <w:t>（二）备选库类别</w:t>
      </w:r>
    </w:p>
    <w:p w14:paraId="0FC66F82">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highlight w:val="none"/>
          <w:lang w:val="en-US" w:eastAsia="zh-CN"/>
        </w:rPr>
      </w:pPr>
      <w:r>
        <w:rPr>
          <w:rFonts w:hint="eastAsia" w:ascii="仿宋_GB2312" w:hAnsi="宋体" w:eastAsia="仿宋_GB2312"/>
          <w:lang w:val="en-US" w:eastAsia="zh-CN"/>
        </w:rPr>
        <w:t>本次申报类别</w:t>
      </w:r>
      <w:r>
        <w:rPr>
          <w:rFonts w:hint="eastAsia" w:ascii="仿宋_GB2312" w:hAnsi="宋体" w:eastAsia="仿宋_GB2312"/>
          <w:lang w:eastAsia="zh-CN"/>
        </w:rPr>
        <w:t>共</w:t>
      </w:r>
      <w:r>
        <w:rPr>
          <w:rFonts w:hint="eastAsia" w:ascii="仿宋_GB2312" w:hAnsi="宋体" w:eastAsia="仿宋_GB2312"/>
          <w:lang w:val="en-US" w:eastAsia="zh-CN"/>
        </w:rPr>
        <w:t>七组，</w:t>
      </w:r>
      <w:r>
        <w:rPr>
          <w:rFonts w:hint="eastAsia" w:ascii="仿宋_GB2312" w:hAnsi="宋体" w:eastAsia="仿宋_GB2312"/>
          <w:lang w:eastAsia="zh-CN"/>
        </w:rPr>
        <w:t>分</w:t>
      </w:r>
      <w:r>
        <w:rPr>
          <w:rFonts w:hint="eastAsia" w:ascii="仿宋_GB2312" w:hAnsi="宋体" w:eastAsia="仿宋_GB2312"/>
          <w:lang w:val="en-US" w:eastAsia="zh-CN"/>
        </w:rPr>
        <w:t>别</w:t>
      </w:r>
      <w:r>
        <w:rPr>
          <w:rFonts w:hint="eastAsia" w:ascii="仿宋_GB2312" w:hAnsi="宋体" w:eastAsia="仿宋_GB2312"/>
          <w:lang w:eastAsia="zh-CN"/>
        </w:rPr>
        <w:t>为债权投资类、常年法律</w:t>
      </w:r>
      <w:r>
        <w:rPr>
          <w:rFonts w:hint="eastAsia" w:ascii="仿宋_GB2312" w:hAnsi="宋体" w:eastAsia="仿宋_GB2312"/>
          <w:highlight w:val="none"/>
          <w:lang w:eastAsia="zh-CN"/>
        </w:rPr>
        <w:t>顾问类、基金</w:t>
      </w:r>
      <w:r>
        <w:rPr>
          <w:rFonts w:hint="eastAsia" w:ascii="仿宋_GB2312" w:hAnsi="宋体" w:eastAsia="仿宋_GB2312"/>
          <w:highlight w:val="none"/>
          <w:lang w:val="en-US" w:eastAsia="zh-CN"/>
        </w:rPr>
        <w:t>投资</w:t>
      </w:r>
      <w:r>
        <w:rPr>
          <w:rFonts w:hint="eastAsia" w:ascii="仿宋_GB2312" w:hAnsi="宋体" w:eastAsia="仿宋_GB2312"/>
          <w:highlight w:val="none"/>
          <w:lang w:eastAsia="zh-CN"/>
        </w:rPr>
        <w:t>业务类、直接投资类、</w:t>
      </w:r>
      <w:r>
        <w:rPr>
          <w:rFonts w:hint="eastAsia" w:ascii="仿宋_GB2312" w:hAnsi="宋体" w:eastAsia="仿宋_GB2312"/>
          <w:highlight w:val="none"/>
          <w:lang w:val="en-US" w:eastAsia="zh-CN"/>
        </w:rPr>
        <w:t>金融股权投资类、</w:t>
      </w:r>
      <w:r>
        <w:rPr>
          <w:rFonts w:hint="eastAsia" w:ascii="仿宋_GB2312" w:hAnsi="宋体" w:eastAsia="仿宋_GB2312"/>
          <w:highlight w:val="none"/>
          <w:lang w:eastAsia="zh-CN"/>
        </w:rPr>
        <w:t>兼并重组类</w:t>
      </w:r>
      <w:r>
        <w:rPr>
          <w:rFonts w:hint="eastAsia" w:ascii="仿宋_GB2312" w:hAnsi="宋体" w:eastAsia="仿宋_GB2312"/>
          <w:highlight w:val="none"/>
          <w:lang w:val="en-US" w:eastAsia="zh-CN"/>
        </w:rPr>
        <w:t>和涉外业务类。</w:t>
      </w:r>
    </w:p>
    <w:p w14:paraId="63025B8B">
      <w:pPr>
        <w:pStyle w:val="3"/>
        <w:keepNext/>
        <w:keepLines/>
        <w:pageBreakBefore w:val="0"/>
        <w:widowControl/>
        <w:numPr>
          <w:ilvl w:val="0"/>
          <w:numId w:val="2"/>
        </w:numPr>
        <w:kinsoku/>
        <w:wordWrap/>
        <w:overflowPunct/>
        <w:topLinePunct w:val="0"/>
        <w:autoSpaceDE/>
        <w:autoSpaceDN/>
        <w:bidi w:val="0"/>
        <w:adjustRightInd/>
        <w:snapToGrid/>
        <w:spacing w:before="437" w:beforeLines="100" w:after="0" w:line="578"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申报要求</w:t>
      </w:r>
    </w:p>
    <w:p w14:paraId="08482D52">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default" w:ascii="仿宋_GB2312" w:hAnsi="宋体" w:eastAsia="仿宋_GB2312"/>
          <w:lang w:val="en-US" w:eastAsia="zh-CN"/>
        </w:rPr>
      </w:pPr>
      <w:r>
        <w:rPr>
          <w:rFonts w:hint="eastAsia" w:ascii="仿宋_GB2312" w:hAnsi="宋体" w:eastAsia="仿宋_GB2312" w:cs="仿宋"/>
          <w:lang w:eastAsia="zh-CN"/>
        </w:rPr>
        <w:t>本着机构与团队并重原则，鼓励同一律师事务所不同团队</w:t>
      </w:r>
      <w:r>
        <w:rPr>
          <w:rFonts w:hint="eastAsia" w:ascii="仿宋_GB2312" w:hAnsi="宋体" w:eastAsia="仿宋_GB2312" w:cs="仿宋"/>
          <w:lang w:val="en-US" w:eastAsia="zh-CN"/>
        </w:rPr>
        <w:t>进行</w:t>
      </w:r>
      <w:r>
        <w:rPr>
          <w:rFonts w:hint="eastAsia" w:ascii="仿宋_GB2312" w:hAnsi="宋体" w:eastAsia="仿宋_GB2312" w:cs="仿宋"/>
          <w:lang w:eastAsia="zh-CN"/>
        </w:rPr>
        <w:t>申报。</w:t>
      </w:r>
      <w:r>
        <w:rPr>
          <w:rFonts w:hint="eastAsia" w:ascii="仿宋_GB2312" w:hAnsi="宋体" w:eastAsia="仿宋_GB2312" w:cs="仿宋"/>
          <w:lang w:val="en-US" w:eastAsia="zh-CN"/>
        </w:rPr>
        <w:t>具体要求如下：</w:t>
      </w:r>
    </w:p>
    <w:p w14:paraId="703856FC">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仿宋_GB2312" w:hAnsi="宋体" w:eastAsia="仿宋_GB2312" w:cs="仿宋"/>
          <w:sz w:val="32"/>
          <w:szCs w:val="32"/>
          <w:highlight w:val="none"/>
          <w:lang w:val="en-US" w:eastAsia="zh-CN"/>
        </w:rPr>
      </w:pPr>
      <w:r>
        <w:rPr>
          <w:rFonts w:hint="eastAsia" w:ascii="仿宋_GB2312" w:hAnsi="宋体" w:eastAsia="仿宋_GB2312" w:cs="仿宋"/>
          <w:sz w:val="32"/>
          <w:szCs w:val="32"/>
          <w:highlight w:val="none"/>
          <w:lang w:val="en-US" w:eastAsia="zh-CN"/>
        </w:rPr>
        <w:t>各律师团队可以</w:t>
      </w:r>
      <w:r>
        <w:rPr>
          <w:rFonts w:hint="eastAsia" w:ascii="仿宋_GB2312" w:hAnsi="宋体" w:eastAsia="仿宋_GB2312" w:cs="仿宋"/>
          <w:b w:val="0"/>
          <w:bCs w:val="0"/>
          <w:sz w:val="32"/>
          <w:szCs w:val="32"/>
          <w:highlight w:val="none"/>
          <w:lang w:val="en-US" w:eastAsia="zh-CN"/>
        </w:rPr>
        <w:t>总所或所在分支机构的</w:t>
      </w:r>
      <w:r>
        <w:rPr>
          <w:rFonts w:hint="eastAsia" w:ascii="仿宋_GB2312" w:hAnsi="宋体" w:eastAsia="仿宋_GB2312" w:cs="仿宋"/>
          <w:sz w:val="32"/>
          <w:szCs w:val="32"/>
          <w:highlight w:val="none"/>
          <w:lang w:val="en-US" w:eastAsia="zh-CN"/>
        </w:rPr>
        <w:t>名义申报入库，并提交相应的证明材料。后续具体采购项目须以申报入库的机构的名义进行响应。</w:t>
      </w:r>
    </w:p>
    <w:p w14:paraId="4648ECC7">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宋体" w:eastAsia="仿宋_GB2312" w:cs="仿宋"/>
          <w:sz w:val="32"/>
          <w:szCs w:val="32"/>
          <w:highlight w:val="none"/>
          <w:lang w:val="en-US" w:eastAsia="zh-CN"/>
        </w:rPr>
      </w:pPr>
      <w:r>
        <w:rPr>
          <w:rFonts w:hint="eastAsia" w:ascii="仿宋_GB2312" w:hAnsi="宋体" w:eastAsia="仿宋_GB2312" w:cs="仿宋"/>
          <w:sz w:val="32"/>
          <w:szCs w:val="32"/>
          <w:highlight w:val="none"/>
          <w:lang w:val="en-US" w:eastAsia="zh-CN"/>
        </w:rPr>
        <w:t>允许同一机构多个团队入库</w:t>
      </w:r>
      <w:r>
        <w:rPr>
          <w:rFonts w:hint="eastAsia" w:ascii="仿宋_GB2312" w:hAnsi="宋体" w:eastAsia="仿宋_GB2312"/>
          <w:highlight w:val="none"/>
          <w:lang w:val="en-US" w:eastAsia="zh-CN"/>
        </w:rPr>
        <w:t>，允许同一团队申报不超过3个（含）类别备选库</w:t>
      </w:r>
      <w:r>
        <w:rPr>
          <w:rFonts w:hint="eastAsia" w:ascii="仿宋_GB2312" w:hAnsi="宋体" w:eastAsia="仿宋_GB2312" w:cs="仿宋"/>
          <w:sz w:val="32"/>
          <w:szCs w:val="32"/>
          <w:highlight w:val="none"/>
          <w:lang w:val="en-US" w:eastAsia="zh-CN"/>
        </w:rPr>
        <w:t>。</w:t>
      </w:r>
    </w:p>
    <w:p w14:paraId="053A149E">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宋体" w:eastAsia="仿宋_GB2312" w:cs="仿宋"/>
          <w:sz w:val="32"/>
          <w:szCs w:val="32"/>
          <w:highlight w:val="none"/>
          <w:lang w:val="en-US" w:eastAsia="zh-CN"/>
        </w:rPr>
      </w:pPr>
      <w:r>
        <w:rPr>
          <w:rFonts w:hint="eastAsia" w:ascii="仿宋_GB2312" w:hAnsi="宋体" w:eastAsia="仿宋_GB2312" w:cs="仿宋"/>
          <w:sz w:val="32"/>
          <w:szCs w:val="32"/>
          <w:highlight w:val="none"/>
          <w:lang w:val="en-US" w:eastAsia="zh-CN"/>
        </w:rPr>
        <w:t>禁止不同机构以联合体的形式申报</w:t>
      </w:r>
      <w:r>
        <w:rPr>
          <w:rFonts w:hint="eastAsia" w:ascii="仿宋_GB2312" w:hAnsi="宋体" w:eastAsia="仿宋_GB2312"/>
          <w:highlight w:val="none"/>
          <w:lang w:val="en-US" w:eastAsia="zh-CN"/>
        </w:rPr>
        <w:t>，或同一机构不同团队间联合申报</w:t>
      </w:r>
      <w:r>
        <w:rPr>
          <w:rFonts w:hint="eastAsia" w:ascii="仿宋_GB2312" w:hAnsi="宋体" w:eastAsia="仿宋_GB2312" w:cs="仿宋"/>
          <w:sz w:val="32"/>
          <w:szCs w:val="32"/>
          <w:highlight w:val="none"/>
          <w:lang w:val="en-US" w:eastAsia="zh-CN"/>
        </w:rPr>
        <w:t>。</w:t>
      </w:r>
    </w:p>
    <w:p w14:paraId="5425B3AF">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宋体" w:eastAsia="仿宋_GB2312" w:cs="仿宋"/>
          <w:sz w:val="32"/>
          <w:szCs w:val="32"/>
          <w:highlight w:val="none"/>
          <w:lang w:val="en-US" w:eastAsia="zh-CN"/>
        </w:rPr>
      </w:pPr>
      <w:r>
        <w:rPr>
          <w:rFonts w:hint="eastAsia" w:ascii="仿宋_GB2312" w:hAnsi="宋体" w:eastAsia="仿宋_GB2312" w:cs="仿宋"/>
          <w:sz w:val="32"/>
          <w:szCs w:val="32"/>
          <w:highlight w:val="none"/>
          <w:lang w:val="en-US" w:eastAsia="zh-CN"/>
        </w:rPr>
        <w:t>团队</w:t>
      </w:r>
      <w:r>
        <w:rPr>
          <w:rFonts w:hint="eastAsia" w:ascii="仿宋_GB2312" w:hAnsi="宋体" w:eastAsia="仿宋_GB2312"/>
          <w:highlight w:val="none"/>
          <w:lang w:val="en-US" w:eastAsia="zh-CN"/>
        </w:rPr>
        <w:t>成</w:t>
      </w:r>
      <w:r>
        <w:rPr>
          <w:rFonts w:hint="eastAsia" w:ascii="仿宋_GB2312" w:hAnsi="宋体" w:eastAsia="仿宋_GB2312" w:cs="仿宋"/>
          <w:sz w:val="32"/>
          <w:szCs w:val="32"/>
          <w:highlight w:val="none"/>
          <w:lang w:val="en-US" w:eastAsia="zh-CN"/>
        </w:rPr>
        <w:t>员均须在申报机构任职，</w:t>
      </w:r>
      <w:r>
        <w:rPr>
          <w:rFonts w:hint="eastAsia" w:ascii="仿宋_GB2312" w:hAnsi="宋体" w:eastAsia="仿宋_GB2312"/>
          <w:highlight w:val="none"/>
          <w:lang w:val="en-US" w:eastAsia="zh-CN"/>
        </w:rPr>
        <w:t>禁止机构非正式任职人员（如顾问）申报。</w:t>
      </w:r>
    </w:p>
    <w:p w14:paraId="5B547429">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宋体" w:eastAsia="仿宋_GB2312" w:cs="仿宋"/>
          <w:sz w:val="32"/>
          <w:szCs w:val="32"/>
          <w:highlight w:val="none"/>
          <w:lang w:val="en-US" w:eastAsia="zh-CN"/>
        </w:rPr>
      </w:pPr>
      <w:r>
        <w:rPr>
          <w:rFonts w:hint="eastAsia" w:ascii="仿宋_GB2312" w:hAnsi="宋体" w:eastAsia="仿宋_GB2312" w:cs="仿宋"/>
          <w:sz w:val="32"/>
          <w:szCs w:val="32"/>
          <w:highlight w:val="none"/>
          <w:lang w:val="en-US" w:eastAsia="zh-CN"/>
        </w:rPr>
        <w:t>禁止同一人员在多个不同团队进行申报。</w:t>
      </w:r>
    </w:p>
    <w:p w14:paraId="4B617E84">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宋体" w:eastAsia="仿宋_GB2312" w:cs="仿宋"/>
          <w:sz w:val="32"/>
          <w:szCs w:val="32"/>
          <w:highlight w:val="none"/>
          <w:lang w:val="en-US" w:eastAsia="zh-CN"/>
        </w:rPr>
      </w:pPr>
      <w:r>
        <w:rPr>
          <w:rFonts w:hint="eastAsia" w:ascii="仿宋_GB2312" w:hAnsi="宋体" w:eastAsia="仿宋_GB2312" w:cs="仿宋"/>
          <w:sz w:val="32"/>
          <w:szCs w:val="32"/>
          <w:highlight w:val="none"/>
          <w:lang w:val="en-US" w:eastAsia="zh-CN"/>
        </w:rPr>
        <w:t>入库后，不得将入库资格转让其他机构或团队。</w:t>
      </w:r>
    </w:p>
    <w:p w14:paraId="44680BC8">
      <w:pPr>
        <w:pStyle w:val="3"/>
        <w:keepNext/>
        <w:keepLines/>
        <w:pageBreakBefore w:val="0"/>
        <w:widowControl/>
        <w:numPr>
          <w:ilvl w:val="0"/>
          <w:numId w:val="2"/>
        </w:numPr>
        <w:kinsoku/>
        <w:wordWrap/>
        <w:overflowPunct/>
        <w:topLinePunct w:val="0"/>
        <w:autoSpaceDE/>
        <w:autoSpaceDN/>
        <w:bidi w:val="0"/>
        <w:adjustRightInd/>
        <w:snapToGrid/>
        <w:spacing w:before="437" w:beforeLines="100" w:after="0" w:line="578" w:lineRule="exact"/>
        <w:ind w:firstLine="640" w:firstLineChars="200"/>
        <w:jc w:val="left"/>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服务要求</w:t>
      </w:r>
    </w:p>
    <w:p w14:paraId="1B31F515">
      <w:pPr>
        <w:pageBreakBefore w:val="0"/>
        <w:widowControl w:val="0"/>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申请入库的法律服务类中介机构、</w:t>
      </w:r>
      <w:r>
        <w:rPr>
          <w:rFonts w:hint="eastAsia" w:ascii="仿宋_GB2312" w:hAnsi="宋体" w:eastAsia="仿宋_GB2312"/>
          <w:lang w:val="en-US" w:eastAsia="zh-CN"/>
        </w:rPr>
        <w:t>团队</w:t>
      </w:r>
      <w:r>
        <w:rPr>
          <w:rFonts w:hint="eastAsia" w:ascii="仿宋_GB2312" w:hAnsi="宋体" w:eastAsia="仿宋_GB2312"/>
          <w:lang w:eastAsia="zh-CN"/>
        </w:rPr>
        <w:t>（</w:t>
      </w:r>
      <w:r>
        <w:rPr>
          <w:rFonts w:hint="eastAsia" w:ascii="仿宋_GB2312" w:hAnsi="宋体" w:eastAsia="仿宋_GB2312"/>
          <w:lang w:val="en-US" w:eastAsia="zh-CN"/>
        </w:rPr>
        <w:t>以下</w:t>
      </w:r>
      <w:r>
        <w:rPr>
          <w:rFonts w:hint="eastAsia" w:ascii="仿宋_GB2312" w:hAnsi="宋体" w:eastAsia="仿宋_GB2312"/>
          <w:lang w:eastAsia="zh-CN"/>
        </w:rPr>
        <w:t>简称申请人）应遵守以下服务要求：</w:t>
      </w:r>
    </w:p>
    <w:p w14:paraId="27B9CF29">
      <w:pPr>
        <w:keepNext w:val="0"/>
        <w:keepLines w:val="0"/>
        <w:pageBreakBefore w:val="0"/>
        <w:widowControl w:val="0"/>
        <w:numPr>
          <w:ilvl w:val="0"/>
          <w:numId w:val="4"/>
        </w:numPr>
        <w:tabs>
          <w:tab w:val="left" w:pos="142"/>
        </w:tabs>
        <w:kinsoku/>
        <w:wordWrap/>
        <w:overflowPunct/>
        <w:topLinePunct w:val="0"/>
        <w:autoSpaceDE/>
        <w:autoSpaceDN/>
        <w:bidi w:val="0"/>
        <w:adjustRightInd/>
        <w:snapToGrid/>
        <w:spacing w:after="0" w:line="578" w:lineRule="exact"/>
        <w:ind w:left="0" w:leftChars="0" w:firstLine="640" w:firstLineChars="0"/>
        <w:jc w:val="both"/>
        <w:textAlignment w:val="auto"/>
        <w:rPr>
          <w:rFonts w:hint="eastAsia" w:ascii="仿宋_GB2312" w:hAnsi="宋体" w:eastAsia="仿宋_GB2312"/>
          <w:highlight w:val="none"/>
          <w:lang w:val="en-US" w:eastAsia="zh-CN"/>
        </w:rPr>
      </w:pPr>
      <w:r>
        <w:rPr>
          <w:rFonts w:hint="eastAsia" w:ascii="仿宋_GB2312" w:hAnsi="宋体" w:eastAsia="仿宋_GB2312" w:cs="仿宋"/>
          <w:sz w:val="32"/>
          <w:szCs w:val="32"/>
          <w:highlight w:val="none"/>
          <w:lang w:eastAsia="zh-CN"/>
        </w:rPr>
        <w:t>申请人应本着长期合作、专业服务的精神，严格保证</w:t>
      </w:r>
      <w:r>
        <w:rPr>
          <w:rFonts w:hint="eastAsia" w:ascii="仿宋_GB2312" w:hAnsi="宋体" w:eastAsia="仿宋_GB2312" w:cs="仿宋"/>
          <w:sz w:val="32"/>
          <w:szCs w:val="32"/>
          <w:highlight w:val="none"/>
          <w:lang w:val="en-US" w:eastAsia="zh-CN"/>
        </w:rPr>
        <w:t>入库律师与实际工作律师相一致，不得冒用他人名义申报、入库或将不实际提供专业服务人员纳入入库团队。</w:t>
      </w:r>
    </w:p>
    <w:p w14:paraId="4FBCAA5B">
      <w:pPr>
        <w:pageBreakBefore w:val="0"/>
        <w:widowControl w:val="0"/>
        <w:numPr>
          <w:ilvl w:val="0"/>
          <w:numId w:val="4"/>
        </w:numPr>
        <w:tabs>
          <w:tab w:val="left" w:pos="142"/>
        </w:tabs>
        <w:kinsoku/>
        <w:overflowPunct/>
        <w:topLinePunct w:val="0"/>
        <w:autoSpaceDE/>
        <w:autoSpaceDN/>
        <w:bidi w:val="0"/>
        <w:spacing w:after="0" w:line="578" w:lineRule="exact"/>
        <w:ind w:firstLine="640" w:firstLineChars="0"/>
        <w:jc w:val="both"/>
        <w:textAlignment w:val="auto"/>
        <w:rPr>
          <w:rFonts w:ascii="仿宋_GB2312" w:hAnsi="宋体" w:eastAsia="仿宋_GB2312"/>
          <w:lang w:eastAsia="zh-CN"/>
        </w:rPr>
      </w:pPr>
      <w:r>
        <w:rPr>
          <w:rFonts w:hint="eastAsia" w:ascii="仿宋_GB2312" w:hAnsi="宋体" w:eastAsia="仿宋_GB2312"/>
          <w:highlight w:val="none"/>
          <w:lang w:val="en-US" w:eastAsia="zh-CN"/>
        </w:rPr>
        <w:t>除非具体采购项目的服务协议另有约定，提供服务的</w:t>
      </w:r>
      <w:r>
        <w:rPr>
          <w:rFonts w:hint="eastAsia" w:ascii="仿宋_GB2312" w:hAnsi="宋体" w:eastAsia="仿宋_GB2312" w:cs="仿宋"/>
          <w:b w:val="0"/>
          <w:bCs w:val="0"/>
          <w:sz w:val="32"/>
          <w:szCs w:val="32"/>
          <w:highlight w:val="none"/>
          <w:vertAlign w:val="baseline"/>
          <w:lang w:val="en-US" w:eastAsia="zh-CN" w:bidi="ar-SA"/>
        </w:rPr>
        <w:t>团队负责人不超过1人；主办律师（现场负责人）</w:t>
      </w:r>
      <w:r>
        <w:rPr>
          <w:rFonts w:hint="eastAsia" w:ascii="仿宋_GB2312" w:hAnsi="宋体" w:eastAsia="仿宋_GB2312"/>
          <w:highlight w:val="none"/>
          <w:lang w:val="en-US" w:eastAsia="zh-CN"/>
        </w:rPr>
        <w:t>人数不超过2人，且主办律师不得为团队负责人。</w:t>
      </w:r>
    </w:p>
    <w:p w14:paraId="0B967BC5">
      <w:pPr>
        <w:pageBreakBefore w:val="0"/>
        <w:widowControl w:val="0"/>
        <w:numPr>
          <w:ilvl w:val="0"/>
          <w:numId w:val="4"/>
        </w:numPr>
        <w:tabs>
          <w:tab w:val="left" w:pos="142"/>
        </w:tabs>
        <w:kinsoku/>
        <w:overflowPunct/>
        <w:topLinePunct w:val="0"/>
        <w:autoSpaceDE/>
        <w:autoSpaceDN/>
        <w:bidi w:val="0"/>
        <w:spacing w:after="0" w:line="578" w:lineRule="exact"/>
        <w:ind w:firstLine="640" w:firstLineChars="0"/>
        <w:jc w:val="both"/>
        <w:textAlignment w:val="auto"/>
        <w:rPr>
          <w:rFonts w:ascii="仿宋_GB2312" w:hAnsi="宋体" w:eastAsia="仿宋_GB2312"/>
          <w:lang w:eastAsia="zh-CN"/>
        </w:rPr>
      </w:pPr>
      <w:r>
        <w:rPr>
          <w:rFonts w:hint="eastAsia" w:ascii="仿宋_GB2312" w:hAnsi="宋体" w:eastAsia="仿宋_GB2312"/>
          <w:highlight w:val="none"/>
          <w:lang w:val="en-US" w:eastAsia="zh-CN"/>
        </w:rPr>
        <w:t>入库后，团队成员名单锁定。申请人可基于合理事由，申请更换团队成员，但应事先书面征得</w:t>
      </w:r>
      <w:r>
        <w:rPr>
          <w:rFonts w:hint="eastAsia" w:ascii="仿宋_GB2312" w:hAnsi="宋体" w:eastAsia="仿宋_GB2312"/>
          <w:lang w:eastAsia="zh-CN"/>
        </w:rPr>
        <w:t>海南财金集团</w:t>
      </w:r>
      <w:r>
        <w:rPr>
          <w:rFonts w:hint="eastAsia" w:ascii="仿宋_GB2312" w:hAnsi="宋体" w:eastAsia="仿宋_GB2312"/>
          <w:highlight w:val="none"/>
          <w:lang w:val="en-US" w:eastAsia="zh-CN"/>
        </w:rPr>
        <w:t>同意，说明被更换人员姓名、更换原因并提供更换后人员的个人信息及简历；更换后申请人仍应满足“入库资质要求”。</w:t>
      </w:r>
    </w:p>
    <w:p w14:paraId="3BEDCE6F">
      <w:pPr>
        <w:widowControl w:val="0"/>
        <w:numPr>
          <w:ilvl w:val="0"/>
          <w:numId w:val="4"/>
        </w:numPr>
        <w:tabs>
          <w:tab w:val="left" w:pos="142"/>
        </w:tabs>
        <w:spacing w:line="578" w:lineRule="exact"/>
        <w:ind w:firstLine="640"/>
        <w:jc w:val="both"/>
        <w:rPr>
          <w:rFonts w:hint="default"/>
          <w:lang w:val="en-US" w:eastAsia="zh-CN"/>
        </w:rPr>
      </w:pPr>
      <w:r>
        <w:rPr>
          <w:rFonts w:hint="eastAsia" w:ascii="仿宋_GB2312" w:hAnsi="宋体" w:eastAsia="仿宋_GB2312"/>
          <w:highlight w:val="none"/>
          <w:lang w:val="en-US" w:eastAsia="zh-CN"/>
        </w:rPr>
        <w:t>实际服务中，未经</w:t>
      </w:r>
      <w:r>
        <w:rPr>
          <w:rFonts w:hint="eastAsia" w:ascii="仿宋_GB2312" w:hAnsi="宋体" w:eastAsia="仿宋_GB2312"/>
          <w:lang w:eastAsia="zh-CN"/>
        </w:rPr>
        <w:t>海南财金集团</w:t>
      </w:r>
      <w:r>
        <w:rPr>
          <w:rFonts w:hint="eastAsia" w:ascii="仿宋_GB2312" w:hAnsi="宋体" w:eastAsia="仿宋_GB2312"/>
          <w:highlight w:val="none"/>
          <w:lang w:val="en-US" w:eastAsia="zh-CN"/>
        </w:rPr>
        <w:t>书面同意，申请人擅自更换或安排他人顶替团队成员参与业务的，</w:t>
      </w:r>
      <w:r>
        <w:rPr>
          <w:rFonts w:hint="eastAsia" w:ascii="仿宋_GB2312" w:hAnsi="宋体" w:eastAsia="仿宋_GB2312"/>
          <w:lang w:eastAsia="zh-CN"/>
        </w:rPr>
        <w:t>海南财金集团</w:t>
      </w:r>
      <w:r>
        <w:rPr>
          <w:rFonts w:hint="eastAsia" w:ascii="仿宋_GB2312" w:hAnsi="宋体" w:eastAsia="仿宋_GB2312"/>
          <w:highlight w:val="none"/>
          <w:lang w:val="en-US" w:eastAsia="zh-CN"/>
        </w:rPr>
        <w:t>有权视情节轻重采取剔除出库，以及在已签署服务协议的情况下追究申请人违约责任、扣减应付申请人服务费用、单方解除协议或不支付任何费用等措施。</w:t>
      </w:r>
    </w:p>
    <w:p w14:paraId="53A0F10F">
      <w:pPr>
        <w:pageBreakBefore w:val="0"/>
        <w:widowControl w:val="0"/>
        <w:numPr>
          <w:ilvl w:val="0"/>
          <w:numId w:val="4"/>
        </w:numPr>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9" w:footer="709" w:gutter="0"/>
          <w:pgNumType w:fmt="numberInDash"/>
          <w:cols w:space="708" w:num="1"/>
          <w:docGrid w:linePitch="435" w:charSpace="0"/>
        </w:sectPr>
      </w:pPr>
      <w:r>
        <w:rPr>
          <w:rFonts w:hint="eastAsia" w:ascii="仿宋_GB2312" w:hAnsi="宋体" w:eastAsia="仿宋_GB2312"/>
          <w:highlight w:val="none"/>
          <w:lang w:val="en-US" w:eastAsia="zh-CN"/>
        </w:rPr>
        <w:t>依据海南财金集团的规章制度，后续采购项目若满足相关条件，原则上优先从入库团队中选聘服务供应商。</w:t>
      </w:r>
    </w:p>
    <w:p w14:paraId="09E647BC">
      <w:pPr>
        <w:keepNext w:val="0"/>
        <w:keepLines w:val="0"/>
        <w:pageBreakBefore w:val="0"/>
        <w:widowControl w:val="0"/>
        <w:numPr>
          <w:ilvl w:val="0"/>
          <w:numId w:val="1"/>
        </w:numPr>
        <w:kinsoku/>
        <w:wordWrap/>
        <w:overflowPunct/>
        <w:topLinePunct w:val="0"/>
        <w:autoSpaceDE/>
        <w:autoSpaceDN/>
        <w:bidi w:val="0"/>
        <w:adjustRightInd/>
        <w:snapToGrid/>
        <w:spacing w:after="437" w:afterLines="100" w:line="578" w:lineRule="exact"/>
        <w:ind w:left="0" w:leftChars="0" w:firstLine="0" w:firstLineChars="0"/>
        <w:jc w:val="center"/>
        <w:textAlignment w:val="auto"/>
        <w:rPr>
          <w:rFonts w:hint="eastAsia" w:ascii="黑体" w:hAnsi="黑体" w:eastAsia="黑体" w:cs="黑体"/>
          <w:kern w:val="2"/>
          <w:sz w:val="36"/>
          <w:szCs w:val="36"/>
          <w:highlight w:val="none"/>
          <w:lang w:val="en-US" w:eastAsia="zh-CN"/>
        </w:rPr>
      </w:pPr>
      <w:r>
        <w:rPr>
          <w:rFonts w:hint="eastAsia" w:ascii="黑体" w:hAnsi="黑体" w:eastAsia="黑体" w:cs="黑体"/>
          <w:kern w:val="2"/>
          <w:sz w:val="36"/>
          <w:szCs w:val="36"/>
          <w:highlight w:val="none"/>
          <w:lang w:val="en-US" w:eastAsia="zh-CN"/>
        </w:rPr>
        <w:t>入库要求</w:t>
      </w:r>
    </w:p>
    <w:p w14:paraId="583BDA8B">
      <w:pPr>
        <w:pStyle w:val="3"/>
        <w:keepNext/>
        <w:keepLines/>
        <w:pageBreakBefore w:val="0"/>
        <w:widowControl/>
        <w:numPr>
          <w:ilvl w:val="0"/>
          <w:numId w:val="5"/>
        </w:numPr>
        <w:kinsoku/>
        <w:wordWrap/>
        <w:overflowPunct/>
        <w:topLinePunct w:val="0"/>
        <w:autoSpaceDE/>
        <w:autoSpaceDN/>
        <w:bidi w:val="0"/>
        <w:adjustRightInd/>
        <w:snapToGrid/>
        <w:spacing w:before="437" w:beforeLines="100" w:after="0" w:line="578" w:lineRule="exact"/>
        <w:ind w:firstLine="640" w:firstLineChars="200"/>
        <w:jc w:val="left"/>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入库资质要求</w:t>
      </w:r>
    </w:p>
    <w:p w14:paraId="19177AC0">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申请入库的机构、团队或人员需满足以下条件：</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5175"/>
        <w:gridCol w:w="3352"/>
      </w:tblGrid>
      <w:tr w14:paraId="6E50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3E1E8C37">
            <w:pPr>
              <w:widowControl w:val="0"/>
              <w:tabs>
                <w:tab w:val="left" w:pos="142"/>
              </w:tabs>
              <w:spacing w:after="0" w:line="240" w:lineRule="auto"/>
              <w:ind w:firstLine="0" w:firstLineChars="0"/>
              <w:jc w:val="center"/>
              <w:rPr>
                <w:rFonts w:hint="default" w:ascii="仿宋_GB2312" w:hAnsi="仿宋_GB2312" w:eastAsia="仿宋_GB2312" w:cs="仿宋_GB2312"/>
                <w:b/>
                <w:bCs/>
                <w:color w:val="auto"/>
                <w:sz w:val="24"/>
                <w:szCs w:val="24"/>
                <w:lang w:val="en-US" w:eastAsia="zh-CN" w:bidi="ar-SA"/>
              </w:rPr>
            </w:pPr>
            <w:r>
              <w:rPr>
                <w:rFonts w:hint="eastAsia" w:ascii="仿宋_GB2312" w:hAnsi="仿宋_GB2312" w:eastAsia="仿宋_GB2312" w:cs="仿宋_GB2312"/>
                <w:b/>
                <w:bCs/>
                <w:color w:val="auto"/>
                <w:sz w:val="24"/>
                <w:szCs w:val="24"/>
                <w:lang w:val="en-US" w:eastAsia="zh-CN" w:bidi="ar-SA"/>
              </w:rPr>
              <w:t>序号</w:t>
            </w:r>
          </w:p>
        </w:tc>
        <w:tc>
          <w:tcPr>
            <w:tcW w:w="2799" w:type="pct"/>
            <w:vAlign w:val="center"/>
          </w:tcPr>
          <w:p w14:paraId="6D054509">
            <w:pPr>
              <w:widowControl w:val="0"/>
              <w:tabs>
                <w:tab w:val="left" w:pos="142"/>
              </w:tabs>
              <w:spacing w:after="0" w:line="240" w:lineRule="auto"/>
              <w:ind w:firstLine="0" w:firstLineChars="0"/>
              <w:jc w:val="center"/>
              <w:rPr>
                <w:rFonts w:hint="eastAsia" w:ascii="仿宋_GB2312" w:hAnsi="仿宋_GB2312" w:eastAsia="仿宋_GB2312" w:cs="仿宋_GB2312"/>
                <w:b/>
                <w:bCs/>
                <w:color w:val="auto"/>
                <w:sz w:val="24"/>
                <w:szCs w:val="24"/>
                <w:lang w:val="en-US" w:eastAsia="zh-CN" w:bidi="ar-SA"/>
              </w:rPr>
            </w:pPr>
            <w:r>
              <w:rPr>
                <w:rFonts w:hint="eastAsia" w:ascii="仿宋_GB2312" w:hAnsi="仿宋_GB2312" w:eastAsia="仿宋_GB2312" w:cs="仿宋_GB2312"/>
                <w:b/>
                <w:bCs/>
                <w:color w:val="auto"/>
                <w:sz w:val="24"/>
                <w:szCs w:val="24"/>
                <w:lang w:val="en-US" w:eastAsia="zh-CN" w:bidi="ar-SA"/>
              </w:rPr>
              <w:t>入库条件</w:t>
            </w:r>
          </w:p>
        </w:tc>
        <w:tc>
          <w:tcPr>
            <w:tcW w:w="1813" w:type="pct"/>
            <w:vAlign w:val="center"/>
          </w:tcPr>
          <w:p w14:paraId="0D3C9E13">
            <w:pPr>
              <w:widowControl w:val="0"/>
              <w:tabs>
                <w:tab w:val="left" w:pos="142"/>
              </w:tabs>
              <w:spacing w:after="0" w:line="240" w:lineRule="auto"/>
              <w:ind w:firstLine="0" w:firstLineChars="0"/>
              <w:jc w:val="center"/>
              <w:rPr>
                <w:rFonts w:hint="eastAsia" w:ascii="仿宋_GB2312" w:hAnsi="仿宋_GB2312" w:eastAsia="仿宋_GB2312" w:cs="仿宋_GB2312"/>
                <w:b/>
                <w:bCs/>
                <w:color w:val="auto"/>
                <w:sz w:val="24"/>
                <w:szCs w:val="24"/>
                <w:lang w:val="en-US" w:eastAsia="zh-CN" w:bidi="ar-SA"/>
              </w:rPr>
            </w:pPr>
            <w:r>
              <w:rPr>
                <w:rFonts w:hint="eastAsia" w:ascii="仿宋_GB2312" w:hAnsi="仿宋_GB2312" w:eastAsia="仿宋_GB2312" w:cs="仿宋_GB2312"/>
                <w:b/>
                <w:bCs/>
                <w:color w:val="auto"/>
                <w:sz w:val="24"/>
                <w:szCs w:val="24"/>
                <w:lang w:val="en-US" w:eastAsia="zh-CN" w:bidi="ar-SA"/>
              </w:rPr>
              <w:t>证明材料</w:t>
            </w:r>
          </w:p>
        </w:tc>
      </w:tr>
      <w:tr w14:paraId="740B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1B48389F">
            <w:pPr>
              <w:widowControl w:val="0"/>
              <w:tabs>
                <w:tab w:val="left" w:pos="142"/>
              </w:tabs>
              <w:spacing w:after="0" w:line="240" w:lineRule="auto"/>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799" w:type="pct"/>
            <w:vAlign w:val="center"/>
          </w:tcPr>
          <w:p w14:paraId="07756A7C">
            <w:pPr>
              <w:widowControl w:val="0"/>
              <w:tabs>
                <w:tab w:val="left" w:pos="142"/>
              </w:tabs>
              <w:spacing w:after="0" w:line="240" w:lineRule="auto"/>
              <w:ind w:firstLine="0" w:firstLineChars="0"/>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依法设立且存续时间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年（含）以上，且近</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年每年年检合格</w:t>
            </w:r>
          </w:p>
        </w:tc>
        <w:tc>
          <w:tcPr>
            <w:tcW w:w="1813" w:type="pct"/>
            <w:vAlign w:val="center"/>
          </w:tcPr>
          <w:p w14:paraId="00B416D1">
            <w:pPr>
              <w:widowControl w:val="0"/>
              <w:tabs>
                <w:tab w:val="left" w:pos="142"/>
              </w:tabs>
              <w:spacing w:after="0"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①律师事务所执业许可证扫描件或全国律师执业诚信信息公示平台截图</w:t>
            </w:r>
          </w:p>
          <w:p w14:paraId="7FE7D6D7">
            <w:pPr>
              <w:widowControl w:val="0"/>
              <w:tabs>
                <w:tab w:val="left" w:pos="142"/>
              </w:tabs>
              <w:spacing w:after="0" w:line="240" w:lineRule="auto"/>
              <w:ind w:firstLine="0" w:firstLineChars="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②</w:t>
            </w:r>
            <w:r>
              <w:rPr>
                <w:rFonts w:hint="eastAsia" w:ascii="仿宋_GB2312" w:hAnsi="仿宋_GB2312" w:eastAsia="仿宋_GB2312" w:cs="仿宋_GB2312"/>
                <w:sz w:val="24"/>
                <w:szCs w:val="24"/>
                <w:lang w:eastAsia="zh-CN"/>
              </w:rPr>
              <w:t>年检公告</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lang w:eastAsia="zh-CN"/>
              </w:rPr>
              <w:t>年检合格页</w:t>
            </w:r>
          </w:p>
        </w:tc>
      </w:tr>
      <w:tr w14:paraId="1C0B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386" w:type="pct"/>
            <w:vAlign w:val="center"/>
          </w:tcPr>
          <w:p w14:paraId="6C9B4B22">
            <w:pPr>
              <w:widowControl w:val="0"/>
              <w:tabs>
                <w:tab w:val="left" w:pos="142"/>
              </w:tabs>
              <w:spacing w:after="0" w:line="240" w:lineRule="auto"/>
              <w:ind w:firstLine="0" w:firstLineChars="0"/>
              <w:jc w:val="center"/>
              <w:rPr>
                <w:rFonts w:hint="default"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2</w:t>
            </w:r>
          </w:p>
        </w:tc>
        <w:tc>
          <w:tcPr>
            <w:tcW w:w="2799" w:type="pct"/>
            <w:vAlign w:val="center"/>
          </w:tcPr>
          <w:p w14:paraId="15DB686C">
            <w:pPr>
              <w:widowControl w:val="0"/>
              <w:tabs>
                <w:tab w:val="left" w:pos="142"/>
              </w:tabs>
              <w:spacing w:after="0" w:line="240" w:lineRule="auto"/>
              <w:ind w:firstLine="0" w:firstLineChars="0"/>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具有健全的内部控制制度</w:t>
            </w:r>
          </w:p>
        </w:tc>
        <w:tc>
          <w:tcPr>
            <w:tcW w:w="1813" w:type="pct"/>
            <w:vAlign w:val="center"/>
          </w:tcPr>
          <w:p w14:paraId="42E292B7">
            <w:pPr>
              <w:widowControl w:val="0"/>
              <w:tabs>
                <w:tab w:val="left" w:pos="142"/>
              </w:tabs>
              <w:spacing w:after="0" w:line="240" w:lineRule="auto"/>
              <w:ind w:firstLine="0" w:firstLineChars="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可重点提供利益冲突、质量控制相关制度和业务流程（无法提供的，应就如何防范利益冲突、保证服务质量进行说明）</w:t>
            </w:r>
          </w:p>
        </w:tc>
      </w:tr>
      <w:tr w14:paraId="06BB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24FC9785">
            <w:pPr>
              <w:widowControl w:val="0"/>
              <w:tabs>
                <w:tab w:val="left" w:pos="142"/>
              </w:tabs>
              <w:spacing w:after="0" w:line="240" w:lineRule="auto"/>
              <w:ind w:firstLine="0" w:firstLine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3</w:t>
            </w:r>
          </w:p>
        </w:tc>
        <w:tc>
          <w:tcPr>
            <w:tcW w:w="2799" w:type="pct"/>
            <w:vAlign w:val="center"/>
          </w:tcPr>
          <w:p w14:paraId="01AB1483">
            <w:pPr>
              <w:pStyle w:val="13"/>
              <w:widowControl w:val="0"/>
              <w:spacing w:after="0" w:line="240" w:lineRule="auto"/>
              <w:ind w:left="0"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lang w:val="en-US" w:eastAsia="zh-CN"/>
              </w:rPr>
              <w:t>申请机构</w:t>
            </w:r>
            <w:r>
              <w:rPr>
                <w:rFonts w:hint="eastAsia" w:ascii="仿宋_GB2312" w:hAnsi="仿宋_GB2312" w:eastAsia="仿宋_GB2312" w:cs="仿宋_GB2312"/>
                <w:sz w:val="24"/>
                <w:szCs w:val="24"/>
                <w:lang w:eastAsia="zh-CN"/>
              </w:rPr>
              <w:t>近5年内未受到刑事处罚或被责令停产停业、吊销许可证或者执照</w:t>
            </w:r>
          </w:p>
          <w:p w14:paraId="6D80942B">
            <w:pPr>
              <w:pStyle w:val="13"/>
              <w:widowControl w:val="0"/>
              <w:spacing w:after="0" w:line="240" w:lineRule="auto"/>
              <w:ind w:left="0"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②申请机构</w:t>
            </w:r>
            <w:r>
              <w:rPr>
                <w:rFonts w:hint="eastAsia" w:ascii="仿宋_GB2312" w:hAnsi="仿宋_GB2312" w:eastAsia="仿宋_GB2312" w:cs="仿宋_GB2312"/>
                <w:sz w:val="24"/>
                <w:szCs w:val="24"/>
              </w:rPr>
              <w:t>及其单位负责人近5年内未有犯罪行为</w:t>
            </w:r>
          </w:p>
        </w:tc>
        <w:tc>
          <w:tcPr>
            <w:tcW w:w="1813" w:type="pct"/>
            <w:vAlign w:val="center"/>
          </w:tcPr>
          <w:p w14:paraId="2A71A8F9">
            <w:pPr>
              <w:widowControl w:val="0"/>
              <w:tabs>
                <w:tab w:val="left" w:pos="142"/>
              </w:tabs>
              <w:spacing w:after="0"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①申请机构诚信声明</w:t>
            </w:r>
          </w:p>
          <w:p w14:paraId="0383C4AE">
            <w:pPr>
              <w:widowControl w:val="0"/>
              <w:tabs>
                <w:tab w:val="left" w:pos="142"/>
              </w:tabs>
              <w:spacing w:after="0"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②单位负责人律师执业年度考核结果</w:t>
            </w:r>
          </w:p>
        </w:tc>
      </w:tr>
      <w:tr w14:paraId="649B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4C7A30FC">
            <w:pPr>
              <w:widowControl w:val="0"/>
              <w:tabs>
                <w:tab w:val="left" w:pos="142"/>
              </w:tabs>
              <w:spacing w:after="0" w:line="240" w:lineRule="auto"/>
              <w:ind w:firstLine="0" w:firstLine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rPr>
              <w:t>4</w:t>
            </w:r>
          </w:p>
        </w:tc>
        <w:tc>
          <w:tcPr>
            <w:tcW w:w="2799" w:type="pct"/>
            <w:vAlign w:val="center"/>
          </w:tcPr>
          <w:p w14:paraId="23C9A12A">
            <w:pPr>
              <w:widowControl w:val="0"/>
              <w:tabs>
                <w:tab w:val="left" w:pos="142"/>
              </w:tabs>
              <w:spacing w:after="0" w:line="240" w:lineRule="auto"/>
              <w:ind w:firstLine="0" w:firstLine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val="en-US" w:eastAsia="zh-CN"/>
              </w:rPr>
              <w:t>申请机构</w:t>
            </w:r>
            <w:r>
              <w:rPr>
                <w:rFonts w:hint="eastAsia" w:ascii="仿宋_GB2312" w:hAnsi="仿宋_GB2312" w:eastAsia="仿宋_GB2312" w:cs="仿宋_GB2312"/>
                <w:sz w:val="24"/>
                <w:szCs w:val="24"/>
                <w:lang w:eastAsia="zh-CN"/>
              </w:rPr>
              <w:t>近5年内未被列入失信被执行人名单</w:t>
            </w:r>
          </w:p>
        </w:tc>
        <w:tc>
          <w:tcPr>
            <w:tcW w:w="1813" w:type="pct"/>
            <w:vAlign w:val="center"/>
          </w:tcPr>
          <w:p w14:paraId="3E9A983D">
            <w:pPr>
              <w:widowControl w:val="0"/>
              <w:tabs>
                <w:tab w:val="left" w:pos="142"/>
              </w:tabs>
              <w:spacing w:after="0"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信用中国网站</w:t>
            </w:r>
            <w:r>
              <w:rPr>
                <w:rFonts w:hint="eastAsia" w:ascii="仿宋_GB2312" w:hAnsi="仿宋_GB2312" w:eastAsia="仿宋_GB2312" w:cs="仿宋_GB2312"/>
                <w:sz w:val="24"/>
                <w:szCs w:val="24"/>
                <w:lang w:val="en-US" w:eastAsia="zh-CN"/>
              </w:rPr>
              <w:t>公示信息截图</w:t>
            </w:r>
            <w:r>
              <w:rPr>
                <w:rFonts w:hint="eastAsia" w:ascii="仿宋_GB2312" w:hAnsi="仿宋_GB2312" w:eastAsia="仿宋_GB2312" w:cs="仿宋_GB2312"/>
                <w:sz w:val="24"/>
                <w:szCs w:val="24"/>
                <w:lang w:eastAsia="zh-CN"/>
              </w:rPr>
              <w:t>（www.creditchina.gov</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cn）</w:t>
            </w:r>
          </w:p>
        </w:tc>
      </w:tr>
      <w:tr w14:paraId="3B64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14:paraId="1C9FA994">
            <w:pPr>
              <w:widowControl w:val="0"/>
              <w:tabs>
                <w:tab w:val="left" w:pos="142"/>
              </w:tabs>
              <w:spacing w:after="0" w:line="240" w:lineRule="auto"/>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799" w:type="pct"/>
            <w:vAlign w:val="center"/>
          </w:tcPr>
          <w:p w14:paraId="07433CB5">
            <w:pPr>
              <w:widowControl w:val="0"/>
              <w:tabs>
                <w:tab w:val="left" w:pos="142"/>
              </w:tabs>
              <w:spacing w:after="0" w:line="240" w:lineRule="auto"/>
              <w:ind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申请入库的律师团队总人数不</w:t>
            </w:r>
            <w:r>
              <w:rPr>
                <w:rFonts w:hint="eastAsia" w:ascii="仿宋_GB2312" w:hAnsi="仿宋_GB2312" w:eastAsia="仿宋_GB2312" w:cs="仿宋_GB2312"/>
                <w:sz w:val="24"/>
                <w:szCs w:val="24"/>
                <w:highlight w:val="none"/>
                <w:lang w:val="en-US" w:eastAsia="zh-CN"/>
              </w:rPr>
              <w:t>超过3</w:t>
            </w:r>
            <w:r>
              <w:rPr>
                <w:rFonts w:hint="eastAsia" w:ascii="仿宋_GB2312" w:hAnsi="仿宋_GB2312" w:eastAsia="仿宋_GB2312" w:cs="仿宋_GB2312"/>
                <w:sz w:val="24"/>
                <w:szCs w:val="24"/>
                <w:lang w:val="en-US" w:eastAsia="zh-CN"/>
              </w:rPr>
              <w:t>人（含），其中团队负责人1名，</w:t>
            </w:r>
            <w:r>
              <w:rPr>
                <w:rFonts w:hint="eastAsia" w:ascii="仿宋_GB2312" w:hAnsi="仿宋_GB2312" w:eastAsia="仿宋_GB2312" w:cs="仿宋_GB2312"/>
                <w:sz w:val="24"/>
                <w:szCs w:val="24"/>
              </w:rPr>
              <w:t>且执业10年（含）以上；</w:t>
            </w:r>
            <w:r>
              <w:rPr>
                <w:rFonts w:hint="eastAsia" w:ascii="仿宋_GB2312" w:hAnsi="仿宋_GB2312" w:eastAsia="仿宋_GB2312" w:cs="仿宋_GB2312"/>
                <w:sz w:val="24"/>
                <w:szCs w:val="24"/>
                <w:lang w:val="en-US" w:eastAsia="zh-CN"/>
              </w:rPr>
              <w:t>主办律师（现场负责人）不超过2人，</w:t>
            </w:r>
            <w:r>
              <w:rPr>
                <w:rFonts w:hint="eastAsia" w:ascii="仿宋_GB2312" w:hAnsi="仿宋_GB2312" w:eastAsia="仿宋_GB2312" w:cs="仿宋_GB2312"/>
                <w:sz w:val="24"/>
                <w:szCs w:val="24"/>
              </w:rPr>
              <w:t>执业5年（含）以上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且主办律师不得为团队负责人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highlight w:val="none"/>
                <w:lang w:val="en-US" w:eastAsia="zh-CN"/>
              </w:rPr>
              <w:t>团队</w:t>
            </w:r>
            <w:r>
              <w:rPr>
                <w:rFonts w:hint="eastAsia" w:ascii="仿宋_GB2312" w:hAnsi="仿宋_GB2312" w:eastAsia="仿宋_GB2312" w:cs="仿宋_GB2312"/>
                <w:sz w:val="24"/>
                <w:szCs w:val="24"/>
                <w:lang w:val="en-US" w:eastAsia="zh-CN"/>
              </w:rPr>
              <w:t>必须含且仅含一名合伙人</w:t>
            </w:r>
          </w:p>
        </w:tc>
        <w:tc>
          <w:tcPr>
            <w:tcW w:w="1813" w:type="pct"/>
            <w:vAlign w:val="center"/>
          </w:tcPr>
          <w:p w14:paraId="2B8213EE">
            <w:pPr>
              <w:widowControl w:val="0"/>
              <w:tabs>
                <w:tab w:val="left" w:pos="142"/>
              </w:tabs>
              <w:spacing w:after="0" w:line="240" w:lineRule="auto"/>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①团队成员名单</w:t>
            </w:r>
          </w:p>
          <w:p w14:paraId="633CBABD">
            <w:pPr>
              <w:widowControl w:val="0"/>
              <w:tabs>
                <w:tab w:val="left" w:pos="142"/>
              </w:tabs>
              <w:spacing w:after="0"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②律师执业资格证（执业年限自发证日起计算）</w:t>
            </w:r>
          </w:p>
        </w:tc>
      </w:tr>
    </w:tbl>
    <w:p w14:paraId="612B07F5">
      <w:pPr>
        <w:pageBreakBefore w:val="0"/>
        <w:widowControl w:val="0"/>
        <w:tabs>
          <w:tab w:val="left" w:pos="142"/>
        </w:tabs>
        <w:kinsoku/>
        <w:overflowPunct/>
        <w:topLinePunct w:val="0"/>
        <w:autoSpaceDE/>
        <w:autoSpaceDN/>
        <w:bidi w:val="0"/>
        <w:spacing w:after="0" w:line="578" w:lineRule="exact"/>
        <w:ind w:left="-320" w:leftChars="-100" w:firstLine="0" w:firstLineChars="0"/>
        <w:jc w:val="both"/>
        <w:textAlignment w:val="auto"/>
        <w:rPr>
          <w:rFonts w:hint="default" w:ascii="仿宋_GB2312" w:hAnsi="宋体" w:eastAsia="仿宋_GB2312"/>
          <w:b/>
          <w:bCs/>
          <w:sz w:val="24"/>
          <w:szCs w:val="24"/>
          <w:highlight w:val="none"/>
          <w:lang w:val="en-US" w:eastAsia="zh-CN"/>
        </w:rPr>
      </w:pPr>
      <w:r>
        <w:rPr>
          <w:rFonts w:hint="eastAsia" w:ascii="仿宋_GB2312" w:hAnsi="宋体" w:eastAsia="仿宋_GB2312"/>
          <w:b/>
          <w:bCs/>
          <w:sz w:val="24"/>
          <w:szCs w:val="24"/>
          <w:highlight w:val="none"/>
          <w:lang w:val="en-US" w:eastAsia="zh-CN"/>
        </w:rPr>
        <w:t>注：本文件所指</w:t>
      </w:r>
      <w:r>
        <w:rPr>
          <w:rFonts w:hint="default" w:ascii="仿宋_GB2312" w:hAnsi="宋体" w:eastAsia="仿宋_GB2312"/>
          <w:b/>
          <w:bCs/>
          <w:sz w:val="24"/>
          <w:szCs w:val="24"/>
          <w:highlight w:val="none"/>
          <w:lang w:val="en-US" w:eastAsia="zh-CN"/>
        </w:rPr>
        <w:t>时间条件一概以</w:t>
      </w:r>
      <w:r>
        <w:rPr>
          <w:rFonts w:hint="eastAsia" w:ascii="仿宋_GB2312" w:hAnsi="宋体" w:eastAsia="仿宋_GB2312"/>
          <w:b/>
          <w:bCs/>
          <w:sz w:val="24"/>
          <w:szCs w:val="24"/>
          <w:highlight w:val="none"/>
          <w:lang w:val="en-US" w:eastAsia="zh-CN"/>
        </w:rPr>
        <w:t>入库</w:t>
      </w:r>
      <w:r>
        <w:rPr>
          <w:rFonts w:hint="default" w:ascii="仿宋_GB2312" w:hAnsi="宋体" w:eastAsia="仿宋_GB2312"/>
          <w:b/>
          <w:bCs/>
          <w:sz w:val="24"/>
          <w:szCs w:val="24"/>
          <w:highlight w:val="none"/>
          <w:lang w:val="en-US" w:eastAsia="zh-CN"/>
        </w:rPr>
        <w:t>公告发布当日作为截止节点，并自该日起向前倒推计算。</w:t>
      </w:r>
    </w:p>
    <w:p w14:paraId="2D1F74E8">
      <w:pPr>
        <w:pStyle w:val="3"/>
        <w:keepNext/>
        <w:keepLines/>
        <w:pageBreakBefore w:val="0"/>
        <w:widowControl/>
        <w:numPr>
          <w:ilvl w:val="0"/>
          <w:numId w:val="5"/>
        </w:numPr>
        <w:kinsoku/>
        <w:wordWrap/>
        <w:overflowPunct/>
        <w:topLinePunct w:val="0"/>
        <w:autoSpaceDE/>
        <w:autoSpaceDN/>
        <w:bidi w:val="0"/>
        <w:adjustRightInd/>
        <w:snapToGrid/>
        <w:spacing w:before="437" w:beforeLines="100" w:after="0" w:line="578"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入库评分标准</w:t>
      </w:r>
    </w:p>
    <w:p w14:paraId="7B468BA4">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入库评分分为服务团队与业绩证明两个方面。其中，各类别的服务团队评分标准均相同，业绩证明根据申报类别设置不同的评分标准。</w:t>
      </w:r>
    </w:p>
    <w:p w14:paraId="5F6B81B3">
      <w:pPr>
        <w:keepNext w:val="0"/>
        <w:keepLines w:val="0"/>
        <w:pageBreakBefore w:val="0"/>
        <w:widowControl w:val="0"/>
        <w:numPr>
          <w:ilvl w:val="0"/>
          <w:numId w:val="6"/>
        </w:numPr>
        <w:tabs>
          <w:tab w:val="left" w:pos="142"/>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服务团队评分内容</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30"/>
        <w:gridCol w:w="5106"/>
        <w:gridCol w:w="2742"/>
      </w:tblGrid>
      <w:tr w14:paraId="0603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14:paraId="06CDB2B2">
            <w:pPr>
              <w:pStyle w:val="2"/>
              <w:keepNext w:val="0"/>
              <w:keepLines w:val="0"/>
              <w:pageBreakBefore w:val="0"/>
              <w:widowControl/>
              <w:kinsoku/>
              <w:wordWrap/>
              <w:overflowPunct/>
              <w:topLinePunct w:val="0"/>
              <w:autoSpaceDE/>
              <w:autoSpaceDN/>
              <w:bidi w:val="0"/>
              <w:adjustRightInd/>
              <w:snapToGrid/>
              <w:jc w:val="center"/>
              <w:textAlignment w:val="auto"/>
              <w:rPr>
                <w:rFonts w:hint="eastAsia"/>
                <w:sz w:val="24"/>
                <w:szCs w:val="24"/>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序号</w:t>
            </w:r>
          </w:p>
        </w:tc>
        <w:tc>
          <w:tcPr>
            <w:tcW w:w="504" w:type="pct"/>
            <w:vAlign w:val="center"/>
          </w:tcPr>
          <w:p w14:paraId="671FCD02">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center"/>
              <w:textAlignment w:val="auto"/>
              <w:outlineLvl w:val="1"/>
              <w:rPr>
                <w:rFonts w:hint="eastAsia" w:ascii="仿宋_GB2312" w:hAnsi="仿宋_GB2312" w:eastAsia="仿宋_GB2312" w:cs="仿宋_GB2312"/>
                <w:b/>
                <w:bCs w:val="0"/>
                <w:color w:val="auto"/>
                <w:sz w:val="24"/>
                <w:szCs w:val="24"/>
                <w:highlight w:val="none"/>
                <w:vertAlign w:val="baseline"/>
                <w:lang w:val="en-US" w:eastAsia="zh-CN" w:bidi="ar-SA"/>
              </w:rPr>
            </w:pPr>
            <w:r>
              <w:rPr>
                <w:rFonts w:hint="eastAsia" w:ascii="仿宋_GB2312" w:hAnsi="仿宋_GB2312" w:eastAsia="仿宋_GB2312" w:cs="仿宋_GB2312"/>
                <w:b/>
                <w:bCs w:val="0"/>
                <w:color w:val="auto"/>
                <w:sz w:val="24"/>
                <w:szCs w:val="24"/>
                <w:highlight w:val="none"/>
                <w:vertAlign w:val="baseline"/>
                <w:lang w:val="en-US" w:eastAsia="zh-CN"/>
              </w:rPr>
              <w:t>评分内容</w:t>
            </w:r>
          </w:p>
        </w:tc>
        <w:tc>
          <w:tcPr>
            <w:tcW w:w="2764" w:type="pct"/>
            <w:vAlign w:val="center"/>
          </w:tcPr>
          <w:p w14:paraId="426F85C9">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center"/>
              <w:textAlignment w:val="auto"/>
              <w:outlineLvl w:val="1"/>
              <w:rPr>
                <w:rFonts w:hint="eastAsia" w:ascii="仿宋_GB2312" w:hAnsi="仿宋_GB2312" w:eastAsia="仿宋_GB2312" w:cs="仿宋_GB2312"/>
                <w:b/>
                <w:bCs w:val="0"/>
                <w:color w:val="auto"/>
                <w:sz w:val="24"/>
                <w:szCs w:val="24"/>
                <w:highlight w:val="none"/>
                <w:vertAlign w:val="baseline"/>
                <w:lang w:val="en-US" w:eastAsia="zh-CN" w:bidi="ar-SA"/>
              </w:rPr>
            </w:pPr>
            <w:r>
              <w:rPr>
                <w:rFonts w:hint="eastAsia" w:ascii="仿宋_GB2312" w:hAnsi="仿宋_GB2312" w:eastAsia="仿宋_GB2312" w:cs="仿宋_GB2312"/>
                <w:b/>
                <w:bCs w:val="0"/>
                <w:color w:val="auto"/>
                <w:sz w:val="24"/>
                <w:szCs w:val="24"/>
                <w:highlight w:val="none"/>
                <w:vertAlign w:val="baseline"/>
                <w:lang w:val="en-US" w:eastAsia="zh-CN"/>
              </w:rPr>
              <w:t>评分标准</w:t>
            </w:r>
          </w:p>
        </w:tc>
        <w:tc>
          <w:tcPr>
            <w:tcW w:w="1484" w:type="pct"/>
            <w:vAlign w:val="center"/>
          </w:tcPr>
          <w:p w14:paraId="607877F5">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center"/>
              <w:textAlignment w:val="auto"/>
              <w:outlineLvl w:val="1"/>
              <w:rPr>
                <w:rFonts w:hint="eastAsia" w:ascii="仿宋_GB2312" w:hAnsi="仿宋_GB2312" w:eastAsia="仿宋_GB2312" w:cs="仿宋_GB2312"/>
                <w:b/>
                <w:bCs w:val="0"/>
                <w:color w:val="auto"/>
                <w:sz w:val="24"/>
                <w:szCs w:val="24"/>
                <w:highlight w:val="none"/>
                <w:vertAlign w:val="baseline"/>
                <w:lang w:val="en-US" w:eastAsia="zh-CN" w:bidi="ar-SA"/>
              </w:rPr>
            </w:pPr>
            <w:r>
              <w:rPr>
                <w:rFonts w:hint="eastAsia" w:ascii="仿宋_GB2312" w:hAnsi="仿宋_GB2312" w:eastAsia="仿宋_GB2312" w:cs="仿宋_GB2312"/>
                <w:b/>
                <w:bCs w:val="0"/>
                <w:color w:val="auto"/>
                <w:sz w:val="24"/>
                <w:szCs w:val="24"/>
                <w:highlight w:val="none"/>
                <w:vertAlign w:val="baseline"/>
                <w:lang w:val="en-US" w:eastAsia="zh-CN"/>
              </w:rPr>
              <w:t>证明材料</w:t>
            </w:r>
          </w:p>
        </w:tc>
      </w:tr>
      <w:tr w14:paraId="0B9E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14:paraId="0163746F">
            <w:pPr>
              <w:pStyle w:val="2"/>
              <w:keepNext w:val="0"/>
              <w:keepLines w:val="0"/>
              <w:pageBreakBefore w:val="0"/>
              <w:widowControl/>
              <w:kinsoku/>
              <w:wordWrap/>
              <w:overflowPunct/>
              <w:topLinePunct w:val="0"/>
              <w:autoSpaceDE/>
              <w:autoSpaceDN/>
              <w:bidi w:val="0"/>
              <w:adjustRightInd/>
              <w:snapToGrid/>
              <w:jc w:val="center"/>
              <w:textAlignment w:val="auto"/>
              <w:rPr>
                <w:rFonts w:hint="default"/>
                <w:vertAlign w:val="baseline"/>
                <w:lang w:val="en-US" w:eastAsia="zh-CN"/>
              </w:rPr>
            </w:pPr>
            <w:r>
              <w:rPr>
                <w:rFonts w:hint="eastAsia"/>
                <w:vertAlign w:val="baseline"/>
                <w:lang w:val="en-US" w:eastAsia="zh-CN"/>
              </w:rPr>
              <w:t>1</w:t>
            </w:r>
          </w:p>
        </w:tc>
        <w:tc>
          <w:tcPr>
            <w:tcW w:w="504" w:type="pct"/>
            <w:vAlign w:val="center"/>
          </w:tcPr>
          <w:p w14:paraId="0E52CFC4">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center"/>
              <w:textAlignment w:val="auto"/>
              <w:outlineLvl w:val="1"/>
              <w:rPr>
                <w:rFonts w:hint="eastAsia" w:ascii="仿宋_GB2312" w:hAnsi="仿宋_GB2312" w:eastAsia="仿宋_GB2312" w:cs="仿宋_GB2312"/>
                <w:b/>
                <w:bCs w:val="0"/>
                <w:color w:val="auto"/>
                <w:sz w:val="24"/>
                <w:szCs w:val="24"/>
                <w:highlight w:val="none"/>
                <w:vertAlign w:val="baseline"/>
                <w:lang w:val="en-US" w:eastAsia="zh-CN" w:bidi="ar-SA"/>
              </w:rPr>
            </w:pPr>
            <w:r>
              <w:rPr>
                <w:rFonts w:hint="eastAsia" w:ascii="仿宋_GB2312" w:hAnsi="仿宋_GB2312" w:eastAsia="仿宋_GB2312" w:cs="仿宋_GB2312"/>
                <w:b/>
                <w:bCs w:val="0"/>
                <w:color w:val="auto"/>
                <w:sz w:val="24"/>
                <w:szCs w:val="24"/>
                <w:highlight w:val="none"/>
                <w:vertAlign w:val="baseline"/>
                <w:lang w:val="en-US" w:eastAsia="zh-CN"/>
              </w:rPr>
              <w:t>团队资质</w:t>
            </w:r>
          </w:p>
        </w:tc>
        <w:tc>
          <w:tcPr>
            <w:tcW w:w="2764" w:type="pct"/>
            <w:vAlign w:val="center"/>
          </w:tcPr>
          <w:p w14:paraId="49D84939">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vertAlign w:val="baseline"/>
                <w:lang w:val="en-US" w:eastAsia="zh-CN"/>
              </w:rPr>
              <w:t>根据团队成员的执业年限、成员间的分工安排，以及从业经验、背景是否符合申报类别的要求进行判断。</w:t>
            </w:r>
          </w:p>
        </w:tc>
        <w:tc>
          <w:tcPr>
            <w:tcW w:w="1484" w:type="pct"/>
            <w:vAlign w:val="center"/>
          </w:tcPr>
          <w:p w14:paraId="52790CC9">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vertAlign w:val="baseline"/>
                <w:lang w:val="en-US" w:eastAsia="zh-CN" w:bidi="ar-SA"/>
              </w:rPr>
            </w:pPr>
            <w:r>
              <w:rPr>
                <w:rFonts w:hint="default" w:ascii="仿宋_GB2312" w:hAnsi="仿宋_GB2312" w:eastAsia="仿宋_GB2312" w:cs="仿宋_GB2312"/>
                <w:b w:val="0"/>
                <w:bCs/>
                <w:color w:val="auto"/>
                <w:sz w:val="24"/>
                <w:szCs w:val="24"/>
                <w:highlight w:val="none"/>
                <w:vertAlign w:val="baseline"/>
                <w:lang w:val="en-US" w:eastAsia="zh-CN" w:bidi="ar-SA"/>
              </w:rPr>
              <w:t>团队成员简历</w:t>
            </w:r>
            <w:r>
              <w:rPr>
                <w:rFonts w:hint="eastAsia" w:ascii="仿宋_GB2312" w:hAnsi="仿宋_GB2312" w:eastAsia="仿宋_GB2312" w:cs="仿宋_GB2312"/>
                <w:b w:val="0"/>
                <w:bCs/>
                <w:color w:val="auto"/>
                <w:sz w:val="24"/>
                <w:szCs w:val="24"/>
                <w:highlight w:val="none"/>
                <w:vertAlign w:val="baseline"/>
                <w:lang w:val="en-US" w:eastAsia="zh-CN" w:bidi="ar-SA"/>
              </w:rPr>
              <w:t>及分工说明</w:t>
            </w:r>
          </w:p>
        </w:tc>
      </w:tr>
      <w:tr w14:paraId="6D47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14:paraId="2BDF16AF">
            <w:pPr>
              <w:pStyle w:val="2"/>
              <w:keepNext w:val="0"/>
              <w:keepLines w:val="0"/>
              <w:pageBreakBefore w:val="0"/>
              <w:widowControl/>
              <w:kinsoku/>
              <w:wordWrap/>
              <w:overflowPunct/>
              <w:topLinePunct w:val="0"/>
              <w:autoSpaceDE/>
              <w:autoSpaceDN/>
              <w:bidi w:val="0"/>
              <w:adjustRightInd/>
              <w:snapToGrid/>
              <w:jc w:val="center"/>
              <w:textAlignment w:val="auto"/>
              <w:rPr>
                <w:rFonts w:hint="default"/>
                <w:vertAlign w:val="baseline"/>
                <w:lang w:val="en-US" w:eastAsia="zh-CN"/>
              </w:rPr>
            </w:pPr>
            <w:r>
              <w:rPr>
                <w:rFonts w:hint="eastAsia"/>
                <w:vertAlign w:val="baseline"/>
                <w:lang w:val="en-US" w:eastAsia="zh-CN"/>
              </w:rPr>
              <w:t>2</w:t>
            </w:r>
          </w:p>
        </w:tc>
        <w:tc>
          <w:tcPr>
            <w:tcW w:w="504" w:type="pct"/>
            <w:vAlign w:val="center"/>
          </w:tcPr>
          <w:p w14:paraId="04142B19">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center"/>
              <w:textAlignment w:val="auto"/>
              <w:outlineLvl w:val="1"/>
              <w:rPr>
                <w:rFonts w:hint="eastAsia" w:ascii="仿宋_GB2312" w:hAnsi="仿宋_GB2312" w:eastAsia="仿宋_GB2312" w:cs="仿宋_GB2312"/>
                <w:b/>
                <w:bCs w:val="0"/>
                <w:color w:val="auto"/>
                <w:sz w:val="24"/>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团队匹配度</w:t>
            </w:r>
          </w:p>
        </w:tc>
        <w:tc>
          <w:tcPr>
            <w:tcW w:w="2764" w:type="pct"/>
            <w:vAlign w:val="center"/>
          </w:tcPr>
          <w:p w14:paraId="4EB400BA">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根据团队所在机构（总所或所在分支机构）的业务资源、业务发展方向与申报类别的匹配程度进行判断。</w:t>
            </w:r>
          </w:p>
        </w:tc>
        <w:tc>
          <w:tcPr>
            <w:tcW w:w="1484" w:type="pct"/>
            <w:vAlign w:val="center"/>
          </w:tcPr>
          <w:p w14:paraId="420CBDD4">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both"/>
              <w:textAlignment w:val="auto"/>
              <w:outlineLvl w:val="1"/>
              <w:rPr>
                <w:rFonts w:hint="default" w:ascii="仿宋_GB2312" w:hAnsi="仿宋_GB2312" w:eastAsia="仿宋_GB2312" w:cs="仿宋_GB2312"/>
                <w:b w:val="0"/>
                <w:bCs/>
                <w:color w:val="auto"/>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vertAlign w:val="baseline"/>
                <w:lang w:val="en-US" w:eastAsia="zh-CN" w:bidi="ar-SA"/>
              </w:rPr>
              <w:t>申报时选择的总所或分支机构的情况介绍</w:t>
            </w:r>
          </w:p>
        </w:tc>
      </w:tr>
      <w:tr w14:paraId="0E78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14:paraId="617B66B9">
            <w:pPr>
              <w:pStyle w:val="2"/>
              <w:keepNext w:val="0"/>
              <w:keepLines w:val="0"/>
              <w:pageBreakBefore w:val="0"/>
              <w:widowControl/>
              <w:kinsoku/>
              <w:wordWrap/>
              <w:overflowPunct/>
              <w:topLinePunct w:val="0"/>
              <w:autoSpaceDE/>
              <w:autoSpaceDN/>
              <w:bidi w:val="0"/>
              <w:adjustRightInd/>
              <w:snapToGrid/>
              <w:jc w:val="center"/>
              <w:textAlignment w:val="auto"/>
              <w:rPr>
                <w:rFonts w:hint="default"/>
                <w:vertAlign w:val="baseline"/>
                <w:lang w:val="en-US" w:eastAsia="zh-CN"/>
              </w:rPr>
            </w:pPr>
            <w:r>
              <w:rPr>
                <w:rFonts w:hint="eastAsia"/>
                <w:vertAlign w:val="baseline"/>
                <w:lang w:val="en-US" w:eastAsia="zh-CN"/>
              </w:rPr>
              <w:t>3</w:t>
            </w:r>
          </w:p>
        </w:tc>
        <w:tc>
          <w:tcPr>
            <w:tcW w:w="504" w:type="pct"/>
            <w:vAlign w:val="center"/>
          </w:tcPr>
          <w:p w14:paraId="37B0A3A8">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center"/>
              <w:textAlignment w:val="auto"/>
              <w:outlineLvl w:val="1"/>
              <w:rPr>
                <w:rFonts w:hint="eastAsia" w:ascii="仿宋_GB2312" w:hAnsi="仿宋_GB2312" w:eastAsia="仿宋_GB2312" w:cs="仿宋_GB2312"/>
                <w:b/>
                <w:bCs w:val="0"/>
                <w:color w:val="auto"/>
                <w:sz w:val="24"/>
                <w:szCs w:val="24"/>
                <w:highlight w:val="none"/>
                <w:vertAlign w:val="baseline"/>
                <w:lang w:val="en-US" w:eastAsia="zh-CN" w:bidi="ar-SA"/>
              </w:rPr>
            </w:pPr>
            <w:r>
              <w:rPr>
                <w:rFonts w:hint="eastAsia" w:ascii="仿宋_GB2312" w:hAnsi="仿宋_GB2312" w:eastAsia="仿宋_GB2312" w:cs="仿宋_GB2312"/>
                <w:b/>
                <w:bCs w:val="0"/>
                <w:color w:val="auto"/>
                <w:sz w:val="24"/>
                <w:szCs w:val="24"/>
                <w:highlight w:val="none"/>
                <w:vertAlign w:val="baseline"/>
                <w:lang w:val="en-US" w:eastAsia="zh-CN"/>
              </w:rPr>
              <w:t>合作经历</w:t>
            </w:r>
          </w:p>
        </w:tc>
        <w:tc>
          <w:tcPr>
            <w:tcW w:w="2764" w:type="pct"/>
            <w:vAlign w:val="center"/>
          </w:tcPr>
          <w:p w14:paraId="101EF0ED">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①团队负责人与任一主办律师（现场负责人）有2年（含）以上合作共事经历的，得满分；低于2年不得分。</w:t>
            </w:r>
          </w:p>
          <w:p w14:paraId="54A77410">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vertAlign w:val="baseline"/>
                <w:lang w:val="en-US" w:eastAsia="zh-CN"/>
              </w:rPr>
              <w:t>②两名主办律师（现场负责人）之间或主办律师（现场负责人）与其他团队成员（非团队负责人）之间有2年以上合作共事经历的，得满分；低于2年的不得分。</w:t>
            </w:r>
          </w:p>
        </w:tc>
        <w:tc>
          <w:tcPr>
            <w:tcW w:w="1484" w:type="pct"/>
            <w:vAlign w:val="center"/>
          </w:tcPr>
          <w:p w14:paraId="164ECCF7">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contextualSpacing/>
              <w:jc w:val="both"/>
              <w:textAlignment w:val="auto"/>
              <w:outlineLvl w:val="1"/>
              <w:rPr>
                <w:rFonts w:hint="default" w:ascii="仿宋_GB2312" w:hAnsi="仿宋_GB2312" w:eastAsia="仿宋_GB2312" w:cs="仿宋_GB2312"/>
                <w:b w:val="0"/>
                <w:bCs/>
                <w:color w:val="auto"/>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vertAlign w:val="baseline"/>
                <w:lang w:val="en-US" w:eastAsia="zh-CN" w:bidi="ar-SA"/>
              </w:rPr>
              <w:t>能证明合作共事的</w:t>
            </w:r>
            <w:r>
              <w:rPr>
                <w:rFonts w:hint="default" w:ascii="仿宋_GB2312" w:hAnsi="仿宋_GB2312" w:eastAsia="仿宋_GB2312" w:cs="仿宋_GB2312"/>
                <w:b w:val="0"/>
                <w:bCs/>
                <w:color w:val="auto"/>
                <w:sz w:val="24"/>
                <w:szCs w:val="24"/>
                <w:highlight w:val="none"/>
                <w:vertAlign w:val="baseline"/>
                <w:lang w:val="en-US" w:eastAsia="zh-CN" w:bidi="ar-SA"/>
              </w:rPr>
              <w:t>项目协议或法律意见书等</w:t>
            </w:r>
            <w:r>
              <w:rPr>
                <w:rFonts w:hint="eastAsia" w:ascii="仿宋_GB2312" w:hAnsi="仿宋_GB2312" w:eastAsia="仿宋_GB2312" w:cs="仿宋_GB2312"/>
                <w:b w:val="0"/>
                <w:bCs/>
                <w:color w:val="auto"/>
                <w:sz w:val="24"/>
                <w:szCs w:val="24"/>
                <w:highlight w:val="none"/>
                <w:vertAlign w:val="baseline"/>
                <w:lang w:val="en-US" w:eastAsia="zh-CN" w:bidi="ar-SA"/>
              </w:rPr>
              <w:t>；</w:t>
            </w:r>
            <w:r>
              <w:rPr>
                <w:rFonts w:hint="default" w:ascii="仿宋_GB2312" w:hAnsi="仿宋_GB2312" w:eastAsia="仿宋_GB2312" w:cs="仿宋_GB2312"/>
                <w:b w:val="0"/>
                <w:bCs/>
                <w:color w:val="auto"/>
                <w:sz w:val="24"/>
                <w:szCs w:val="24"/>
                <w:highlight w:val="none"/>
                <w:vertAlign w:val="baseline"/>
                <w:lang w:val="en-US" w:eastAsia="zh-CN"/>
              </w:rPr>
              <w:t>如</w:t>
            </w:r>
            <w:r>
              <w:rPr>
                <w:rFonts w:hint="eastAsia" w:ascii="仿宋_GB2312" w:hAnsi="仿宋_GB2312" w:eastAsia="仿宋_GB2312" w:cs="仿宋_GB2312"/>
                <w:b w:val="0"/>
                <w:bCs/>
                <w:color w:val="auto"/>
                <w:sz w:val="24"/>
                <w:szCs w:val="24"/>
                <w:highlight w:val="none"/>
                <w:vertAlign w:val="baseline"/>
                <w:lang w:val="en-US" w:eastAsia="zh-CN"/>
              </w:rPr>
              <w:t>证明材料</w:t>
            </w:r>
            <w:r>
              <w:rPr>
                <w:rFonts w:hint="default" w:ascii="仿宋_GB2312" w:hAnsi="仿宋_GB2312" w:eastAsia="仿宋_GB2312" w:cs="仿宋_GB2312"/>
                <w:b w:val="0"/>
                <w:bCs/>
                <w:color w:val="auto"/>
                <w:sz w:val="24"/>
                <w:szCs w:val="24"/>
                <w:highlight w:val="none"/>
                <w:vertAlign w:val="baseline"/>
                <w:lang w:val="en-US" w:eastAsia="zh-CN"/>
              </w:rPr>
              <w:t>未注明团队成员名称，可另行出具其他证明文件</w:t>
            </w:r>
            <w:r>
              <w:rPr>
                <w:rFonts w:hint="eastAsia" w:ascii="仿宋_GB2312" w:hAnsi="仿宋_GB2312" w:eastAsia="仿宋_GB2312" w:cs="仿宋_GB2312"/>
                <w:b w:val="0"/>
                <w:bCs/>
                <w:color w:val="auto"/>
                <w:sz w:val="24"/>
                <w:szCs w:val="24"/>
                <w:highlight w:val="none"/>
                <w:vertAlign w:val="baseline"/>
                <w:lang w:val="en-US" w:eastAsia="zh-CN"/>
              </w:rPr>
              <w:t>，如微信、邮件截图（需就合作共事的每个年度各提供一份证明材料）</w:t>
            </w:r>
          </w:p>
        </w:tc>
      </w:tr>
    </w:tbl>
    <w:p w14:paraId="4B1E43FA">
      <w:pPr>
        <w:keepNext w:val="0"/>
        <w:keepLines w:val="0"/>
        <w:pageBreakBefore w:val="0"/>
        <w:widowControl w:val="0"/>
        <w:numPr>
          <w:ilvl w:val="0"/>
          <w:numId w:val="6"/>
        </w:numPr>
        <w:tabs>
          <w:tab w:val="left" w:pos="142"/>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业绩证明评分内容</w:t>
      </w:r>
    </w:p>
    <w:p w14:paraId="6E6A80B6">
      <w:pPr>
        <w:widowControl w:val="0"/>
        <w:tabs>
          <w:tab w:val="left" w:pos="142"/>
        </w:tabs>
        <w:ind w:firstLine="640"/>
        <w:jc w:val="both"/>
        <w:rPr>
          <w:rFonts w:hint="eastAsia"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cs="仿宋"/>
          <w:b w:val="0"/>
          <w:bCs w:val="0"/>
          <w:sz w:val="32"/>
          <w:szCs w:val="32"/>
          <w:highlight w:val="none"/>
          <w:vertAlign w:val="baseline"/>
          <w:lang w:val="en-US" w:eastAsia="zh-CN" w:bidi="ar-SA"/>
        </w:rPr>
        <w:t>申请人根据申报类别提供相应证明材料，业绩证明提交规则如下：</w:t>
      </w:r>
    </w:p>
    <w:p w14:paraId="24C93EE4">
      <w:pPr>
        <w:widowControl w:val="0"/>
        <w:numPr>
          <w:ilvl w:val="-1"/>
          <w:numId w:val="0"/>
        </w:numPr>
        <w:tabs>
          <w:tab w:val="left" w:pos="142"/>
        </w:tabs>
        <w:ind w:firstLine="640"/>
        <w:jc w:val="both"/>
        <w:rPr>
          <w:rFonts w:hint="eastAsia" w:ascii="仿宋_GB2312" w:hAnsi="宋体" w:eastAsia="仿宋_GB2312" w:cs="仿宋"/>
          <w:b w:val="0"/>
          <w:bCs w:val="0"/>
          <w:sz w:val="32"/>
          <w:szCs w:val="32"/>
          <w:highlight w:val="none"/>
          <w:vertAlign w:val="baseline"/>
          <w:lang w:val="en-US" w:eastAsia="zh-CN" w:bidi="ar-SA"/>
        </w:rPr>
      </w:pPr>
      <w:bookmarkStart w:id="0" w:name="OLE_LINK14"/>
      <w:r>
        <w:rPr>
          <w:rFonts w:hint="eastAsia" w:ascii="仿宋_GB2312" w:hAnsi="宋体" w:eastAsia="仿宋_GB2312" w:cs="仿宋"/>
          <w:b w:val="0"/>
          <w:bCs w:val="0"/>
          <w:sz w:val="32"/>
          <w:szCs w:val="32"/>
          <w:highlight w:val="none"/>
          <w:vertAlign w:val="baseline"/>
          <w:lang w:val="en-US" w:eastAsia="zh-CN" w:bidi="ar-SA"/>
        </w:rPr>
        <w:t>1.应提交主办律师（现场负责人）与其他团队成员（如有）的业绩材料，团队负责人的业绩材料不计分；不同主办律师（现场负责人）或主办律师（现场负责人）与</w:t>
      </w:r>
      <w:r>
        <w:rPr>
          <w:rFonts w:hint="default" w:ascii="仿宋_GB2312" w:hAnsi="宋体" w:eastAsia="仿宋_GB2312" w:cs="仿宋"/>
          <w:b w:val="0"/>
          <w:bCs w:val="0"/>
          <w:sz w:val="32"/>
          <w:szCs w:val="32"/>
          <w:highlight w:val="none"/>
          <w:vertAlign w:val="baseline"/>
          <w:lang w:val="en-US" w:eastAsia="zh-CN" w:bidi="ar-SA"/>
        </w:rPr>
        <w:t>其他团队成员</w:t>
      </w:r>
      <w:r>
        <w:rPr>
          <w:rFonts w:hint="eastAsia" w:ascii="仿宋_GB2312" w:hAnsi="宋体" w:eastAsia="仿宋_GB2312" w:cs="仿宋"/>
          <w:b w:val="0"/>
          <w:bCs w:val="0"/>
          <w:sz w:val="32"/>
          <w:szCs w:val="32"/>
          <w:highlight w:val="none"/>
          <w:vertAlign w:val="baseline"/>
          <w:lang w:val="en-US" w:eastAsia="zh-CN" w:bidi="ar-SA"/>
        </w:rPr>
        <w:t>（如有）使用同一业绩材料申报的，不累计加分。</w:t>
      </w:r>
    </w:p>
    <w:p w14:paraId="0CCD7B36">
      <w:pPr>
        <w:widowControl w:val="0"/>
        <w:numPr>
          <w:ilvl w:val="0"/>
          <w:numId w:val="0"/>
        </w:numPr>
        <w:tabs>
          <w:tab w:val="left" w:pos="142"/>
        </w:tabs>
        <w:ind w:firstLine="640"/>
        <w:jc w:val="both"/>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2.业绩证明材料包括合同关键页扫描件（含合同签署或提供服务的时间、服务接收方、服务内容、团队成员在该项服务中担任的角色等信息）、法律意见书签字等可证明团队成员参与项目的相关资料；如前述证明材料未注明团队成员名称，可另行出具其他证明文件，如微信、邮件截图，并可对项目有关情况进行介绍。</w:t>
      </w:r>
    </w:p>
    <w:p w14:paraId="542D6DDC">
      <w:pPr>
        <w:widowControl w:val="0"/>
        <w:numPr>
          <w:ilvl w:val="0"/>
          <w:numId w:val="0"/>
        </w:numPr>
        <w:tabs>
          <w:tab w:val="left" w:pos="142"/>
        </w:tabs>
        <w:ind w:firstLine="640"/>
        <w:jc w:val="both"/>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3.申请人应遵守各分类下的业绩证明数量规定。若提交业绩证明数量超出上限的，将按照评审</w:t>
      </w:r>
      <w:r>
        <w:rPr>
          <w:rFonts w:hint="default" w:ascii="仿宋_GB2312" w:hAnsi="宋体" w:eastAsia="仿宋_GB2312"/>
          <w:highlight w:val="none"/>
          <w:lang w:val="en-US" w:eastAsia="zh-CN"/>
        </w:rPr>
        <w:t>得分</w:t>
      </w:r>
      <w:r>
        <w:rPr>
          <w:rFonts w:hint="eastAsia" w:ascii="仿宋_GB2312" w:hAnsi="宋体" w:eastAsia="仿宋_GB2312"/>
          <w:highlight w:val="none"/>
          <w:lang w:val="en-US" w:eastAsia="zh-CN"/>
        </w:rPr>
        <w:t>由低到高的顺序依次确定最终纳入评审的业绩证明。</w:t>
      </w:r>
    </w:p>
    <w:p w14:paraId="5DE0B552">
      <w:r>
        <w:rPr>
          <w:rFonts w:hint="eastAsia" w:ascii="仿宋_GB2312" w:hAnsi="宋体" w:eastAsia="仿宋_GB2312"/>
          <w:highlight w:val="none"/>
          <w:lang w:val="en-US" w:eastAsia="zh-CN"/>
        </w:rPr>
        <w:t>4.各类别须提交的业绩证明类型及数量规定见下表。</w:t>
      </w:r>
      <w:r>
        <w:rPr>
          <w:rFonts w:hint="eastAsia" w:ascii="仿宋_GB2312" w:hAnsi="宋体" w:eastAsia="仿宋_GB2312" w:cs="仿宋"/>
          <w:b w:val="0"/>
          <w:bCs w:val="0"/>
          <w:sz w:val="32"/>
          <w:szCs w:val="32"/>
          <w:highlight w:val="none"/>
          <w:vertAlign w:val="baseline"/>
          <w:lang w:val="en-US" w:eastAsia="zh-CN"/>
        </w:rPr>
        <w:t>为减轻申请人负担，请挑选主要业绩进行提交，并按照重要与关联程度对所提交业绩排序，原则上仅以前5项业绩作为评审依据，其余业绩（如有）仅作参考。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6052"/>
        <w:gridCol w:w="1671"/>
      </w:tblGrid>
      <w:tr w14:paraId="7AC9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14:paraId="4577BE8F">
            <w:pPr>
              <w:pStyle w:val="4"/>
              <w:widowControl w:val="0"/>
              <w:numPr>
                <w:ilvl w:val="0"/>
                <w:numId w:val="0"/>
              </w:numPr>
              <w:spacing w:line="240" w:lineRule="auto"/>
              <w:contextualSpacing/>
              <w:jc w:val="center"/>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Cs w:val="24"/>
                <w:highlight w:val="none"/>
                <w:vertAlign w:val="baseline"/>
                <w:lang w:val="en-US" w:eastAsia="zh-CN"/>
              </w:rPr>
              <w:t>申报类别</w:t>
            </w:r>
          </w:p>
        </w:tc>
        <w:tc>
          <w:tcPr>
            <w:tcW w:w="6205" w:type="dxa"/>
          </w:tcPr>
          <w:p w14:paraId="7F17689C">
            <w:pPr>
              <w:pStyle w:val="4"/>
              <w:widowControl w:val="0"/>
              <w:numPr>
                <w:ilvl w:val="0"/>
                <w:numId w:val="0"/>
              </w:numPr>
              <w:spacing w:line="240" w:lineRule="auto"/>
              <w:contextualSpacing/>
              <w:jc w:val="center"/>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Cs w:val="24"/>
                <w:highlight w:val="none"/>
                <w:vertAlign w:val="baseline"/>
                <w:lang w:val="en-US" w:eastAsia="zh-CN"/>
              </w:rPr>
              <w:t>业绩证明类型</w:t>
            </w:r>
          </w:p>
        </w:tc>
        <w:tc>
          <w:tcPr>
            <w:tcW w:w="1538" w:type="dxa"/>
          </w:tcPr>
          <w:p w14:paraId="064F6ABD">
            <w:pPr>
              <w:pStyle w:val="4"/>
              <w:widowControl w:val="0"/>
              <w:numPr>
                <w:ilvl w:val="0"/>
                <w:numId w:val="0"/>
              </w:numPr>
              <w:spacing w:line="240" w:lineRule="auto"/>
              <w:contextualSpacing/>
              <w:jc w:val="center"/>
              <w:outlineLvl w:val="1"/>
              <w:rPr>
                <w:rFonts w:hint="default"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Cs w:val="24"/>
                <w:highlight w:val="none"/>
                <w:vertAlign w:val="baseline"/>
                <w:lang w:val="en-US" w:eastAsia="zh-CN"/>
              </w:rPr>
              <w:t>数量规定</w:t>
            </w:r>
          </w:p>
        </w:tc>
      </w:tr>
      <w:tr w14:paraId="6F34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499" w:type="dxa"/>
            <w:vAlign w:val="center"/>
          </w:tcPr>
          <w:p w14:paraId="66922032">
            <w:pPr>
              <w:pStyle w:val="4"/>
              <w:widowControl w:val="0"/>
              <w:numPr>
                <w:ilvl w:val="0"/>
                <w:numId w:val="0"/>
              </w:numPr>
              <w:spacing w:line="240" w:lineRule="auto"/>
              <w:contextualSpacing/>
              <w:jc w:val="both"/>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债权投资类</w:t>
            </w:r>
          </w:p>
        </w:tc>
        <w:tc>
          <w:tcPr>
            <w:tcW w:w="6205" w:type="dxa"/>
            <w:vAlign w:val="center"/>
          </w:tcPr>
          <w:p w14:paraId="0964E546">
            <w:pPr>
              <w:pStyle w:val="4"/>
              <w:widowControl w:val="0"/>
              <w:numPr>
                <w:ilvl w:val="0"/>
                <w:numId w:val="0"/>
              </w:numPr>
              <w:snapToGrid w:val="0"/>
              <w:spacing w:before="120" w:after="0" w:line="240" w:lineRule="auto"/>
              <w:contextualSpacing/>
              <w:jc w:val="both"/>
              <w:outlineLvl w:val="1"/>
              <w:rPr>
                <w:rFonts w:hint="eastAsia" w:ascii="仿宋_GB2312" w:hAnsi="仿宋_GB2312" w:eastAsia="仿宋_GB2312" w:cs="仿宋_GB2312"/>
                <w:b w:val="0"/>
                <w:bCs/>
                <w:color w:val="auto"/>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交主办律师（现场负责人）或其他团队成员（如有）为地市级（含）以上国有企业、大型金融机构（注册资本1亿元及以上）或其控股子公司、中央企业总部或其省级分公司、一级子公司针对委托贷款、融资租赁、债券投资及其他非标债权投资业务提供法律服务的业绩证明材料。</w:t>
            </w:r>
          </w:p>
        </w:tc>
        <w:tc>
          <w:tcPr>
            <w:tcW w:w="1538" w:type="dxa"/>
            <w:vAlign w:val="center"/>
          </w:tcPr>
          <w:p w14:paraId="148F611A">
            <w:pPr>
              <w:pStyle w:val="4"/>
              <w:widowControl w:val="0"/>
              <w:numPr>
                <w:ilvl w:val="0"/>
                <w:numId w:val="0"/>
              </w:numPr>
              <w:snapToGrid w:val="0"/>
              <w:spacing w:before="120" w:after="0" w:line="240" w:lineRule="auto"/>
              <w:contextualSpacing/>
              <w:jc w:val="both"/>
              <w:outlineLvl w:val="1"/>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5份</w:t>
            </w:r>
          </w:p>
        </w:tc>
      </w:tr>
      <w:tr w14:paraId="5732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09431D40">
            <w:pPr>
              <w:pStyle w:val="4"/>
              <w:widowControl w:val="0"/>
              <w:numPr>
                <w:ilvl w:val="0"/>
                <w:numId w:val="0"/>
              </w:numPr>
              <w:spacing w:line="240" w:lineRule="auto"/>
              <w:contextualSpacing/>
              <w:jc w:val="both"/>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常年法律顾问类</w:t>
            </w:r>
          </w:p>
        </w:tc>
        <w:tc>
          <w:tcPr>
            <w:tcW w:w="6205" w:type="dxa"/>
            <w:vAlign w:val="center"/>
          </w:tcPr>
          <w:p w14:paraId="30B0E46F">
            <w:pPr>
              <w:pStyle w:val="4"/>
              <w:keepNext w:val="0"/>
              <w:keepLines w:val="0"/>
              <w:pageBreakBefore w:val="0"/>
              <w:widowControl/>
              <w:numPr>
                <w:ilvl w:val="0"/>
                <w:numId w:val="0"/>
              </w:numPr>
              <w:kinsoku/>
              <w:wordWrap/>
              <w:overflowPunct/>
              <w:topLinePunct w:val="0"/>
              <w:autoSpaceDE/>
              <w:autoSpaceDN/>
              <w:bidi w:val="0"/>
              <w:adjustRightInd/>
              <w:snapToGrid w:val="0"/>
              <w:spacing w:before="120" w:after="0" w:line="240" w:lineRule="auto"/>
              <w:ind w:left="0" w:leftChars="0" w:firstLine="0" w:firstLineChars="0"/>
              <w:contextualSpacing/>
              <w:jc w:val="both"/>
              <w:textAlignment w:val="auto"/>
              <w:outlineLvl w:val="1"/>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提交主办律师（现场负责人）或其他团队成员（如有）以下业绩证明材料：</w:t>
            </w:r>
          </w:p>
          <w:p w14:paraId="1359123C">
            <w:pPr>
              <w:pStyle w:val="4"/>
              <w:keepNext w:val="0"/>
              <w:keepLines w:val="0"/>
              <w:pageBreakBefore w:val="0"/>
              <w:widowControl/>
              <w:numPr>
                <w:ilvl w:val="0"/>
                <w:numId w:val="0"/>
              </w:numPr>
              <w:kinsoku/>
              <w:wordWrap/>
              <w:overflowPunct/>
              <w:topLinePunct w:val="0"/>
              <w:autoSpaceDE/>
              <w:autoSpaceDN/>
              <w:bidi w:val="0"/>
              <w:adjustRightInd/>
              <w:snapToGrid w:val="0"/>
              <w:spacing w:before="12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（一）为金融控股公司（指</w:t>
            </w:r>
            <w:r>
              <w:rPr>
                <w:rFonts w:hint="eastAsia" w:ascii="仿宋_GB2312" w:hAnsi="仿宋_GB2312" w:eastAsia="仿宋_GB2312" w:cs="仿宋_GB2312"/>
                <w:b w:val="0"/>
                <w:bCs/>
                <w:color w:val="auto"/>
                <w:sz w:val="24"/>
                <w:szCs w:val="24"/>
                <w:highlight w:val="none"/>
                <w:vertAlign w:val="baseline"/>
                <w:lang w:val="en-US" w:eastAsia="zh-CN"/>
              </w:rPr>
              <w:t>经中国人民银行或其他有权机关批准设立并颁发金融控股公司许可证）</w:t>
            </w:r>
            <w:r>
              <w:rPr>
                <w:rFonts w:hint="eastAsia" w:ascii="仿宋_GB2312" w:hAnsi="仿宋_GB2312" w:eastAsia="仿宋_GB2312" w:cs="仿宋_GB2312"/>
                <w:b w:val="0"/>
                <w:bCs/>
                <w:color w:val="auto"/>
                <w:sz w:val="24"/>
                <w:szCs w:val="24"/>
                <w:highlight w:val="none"/>
                <w:u w:val="none"/>
                <w:vertAlign w:val="baseline"/>
                <w:lang w:val="en-US" w:eastAsia="zh-CN"/>
              </w:rPr>
              <w:t>提供常年法律服务；</w:t>
            </w:r>
          </w:p>
          <w:p w14:paraId="055258ED">
            <w:pPr>
              <w:pStyle w:val="4"/>
              <w:keepNext w:val="0"/>
              <w:keepLines w:val="0"/>
              <w:pageBreakBefore w:val="0"/>
              <w:widowControl/>
              <w:numPr>
                <w:ilvl w:val="0"/>
                <w:numId w:val="0"/>
              </w:numPr>
              <w:kinsoku/>
              <w:wordWrap/>
              <w:overflowPunct/>
              <w:topLinePunct w:val="0"/>
              <w:autoSpaceDE/>
              <w:autoSpaceDN/>
              <w:bidi w:val="0"/>
              <w:adjustRightInd/>
              <w:snapToGrid w:val="0"/>
              <w:spacing w:before="12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（二）为大型金融机构（注册资本1亿元及以上）提供常年法律服务；</w:t>
            </w:r>
          </w:p>
          <w:p w14:paraId="20432307">
            <w:pPr>
              <w:pStyle w:val="4"/>
              <w:widowControl w:val="0"/>
              <w:numPr>
                <w:ilvl w:val="0"/>
                <w:numId w:val="0"/>
              </w:numPr>
              <w:snapToGrid w:val="0"/>
              <w:spacing w:before="120" w:after="0" w:line="240" w:lineRule="auto"/>
              <w:ind w:firstLine="0" w:firstLineChars="0"/>
              <w:contextualSpacing/>
              <w:jc w:val="both"/>
              <w:outlineLvl w:val="1"/>
              <w:rPr>
                <w:rFonts w:hint="eastAsia" w:ascii="仿宋_GB2312" w:hAnsi="仿宋_GB2312" w:eastAsia="仿宋_GB2312" w:cs="仿宋_GB2312"/>
                <w:b w:val="0"/>
                <w:bCs/>
                <w:color w:val="auto"/>
                <w:szCs w:val="24"/>
                <w:highlight w:val="none"/>
                <w:lang w:val="en-US"/>
              </w:rPr>
            </w:pPr>
            <w:r>
              <w:rPr>
                <w:rFonts w:hint="eastAsia" w:ascii="仿宋_GB2312" w:hAnsi="仿宋_GB2312" w:eastAsia="仿宋_GB2312" w:cs="仿宋_GB2312"/>
                <w:b w:val="0"/>
                <w:bCs/>
                <w:color w:val="auto"/>
                <w:sz w:val="24"/>
                <w:szCs w:val="24"/>
                <w:highlight w:val="none"/>
                <w:u w:val="none"/>
                <w:vertAlign w:val="baseline"/>
                <w:lang w:val="en-US" w:eastAsia="zh-CN"/>
              </w:rPr>
              <w:t>（三）为中央企业总部或其省级分公司、一级子公司提供常年法律服务；</w:t>
            </w:r>
          </w:p>
          <w:p w14:paraId="7AA03C1C">
            <w:pPr>
              <w:pStyle w:val="4"/>
              <w:widowControl w:val="0"/>
              <w:snapToGrid w:val="0"/>
              <w:spacing w:before="120" w:after="0" w:line="240" w:lineRule="auto"/>
              <w:ind w:firstLine="0" w:firstLineChars="0"/>
              <w:jc w:val="both"/>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（四）为政府投资基金设立、投资、运营管理提供法律咨询服务；</w:t>
            </w:r>
          </w:p>
          <w:p w14:paraId="0CCE9CA4">
            <w:pPr>
              <w:pStyle w:val="4"/>
              <w:widowControl w:val="0"/>
              <w:snapToGrid w:val="0"/>
              <w:spacing w:before="120" w:after="0" w:line="240" w:lineRule="auto"/>
              <w:ind w:firstLine="0" w:firstLineChars="0"/>
              <w:jc w:val="both"/>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（五）为大型金融机构或金融控股公司提供投后管理、重要会议议案审议等公司治理相关的法律咨询服务；</w:t>
            </w:r>
          </w:p>
          <w:p w14:paraId="43AF1FCA">
            <w:pPr>
              <w:pStyle w:val="4"/>
              <w:keepNext w:val="0"/>
              <w:keepLines w:val="0"/>
              <w:pageBreakBefore w:val="0"/>
              <w:widowControl/>
              <w:numPr>
                <w:ilvl w:val="0"/>
                <w:numId w:val="0"/>
              </w:numPr>
              <w:kinsoku/>
              <w:wordWrap/>
              <w:overflowPunct/>
              <w:topLinePunct w:val="0"/>
              <w:autoSpaceDE/>
              <w:autoSpaceDN/>
              <w:bidi w:val="0"/>
              <w:adjustRightInd/>
              <w:snapToGrid w:val="0"/>
              <w:spacing w:before="120" w:after="0" w:line="240" w:lineRule="auto"/>
              <w:ind w:left="0" w:leftChars="0" w:firstLine="0" w:firstLineChars="0"/>
              <w:contextualSpacing/>
              <w:jc w:val="both"/>
              <w:textAlignment w:val="auto"/>
              <w:outlineLvl w:val="1"/>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（六）为重大资产重组、收购兼并、国有企业产权无偿划转、国有企业混合所有制改革提供法律咨询服务；</w:t>
            </w:r>
          </w:p>
          <w:p w14:paraId="661A5612">
            <w:pPr>
              <w:pStyle w:val="4"/>
              <w:widowControl w:val="0"/>
              <w:numPr>
                <w:ilvl w:val="0"/>
                <w:numId w:val="0"/>
              </w:numPr>
              <w:snapToGrid w:val="0"/>
              <w:spacing w:before="120" w:after="0" w:line="240" w:lineRule="auto"/>
              <w:ind w:firstLine="0" w:firstLineChars="0"/>
              <w:contextualSpacing/>
              <w:jc w:val="both"/>
              <w:outlineLvl w:val="1"/>
              <w:rPr>
                <w:rFonts w:hint="eastAsia" w:ascii="仿宋_GB2312" w:hAnsi="仿宋_GB2312" w:eastAsia="仿宋_GB2312" w:cs="仿宋_GB2312"/>
                <w:b w:val="0"/>
                <w:bCs/>
                <w:color w:val="auto"/>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（七）为国有企业员工持股、合规体系建设提供法律咨询服务。</w:t>
            </w:r>
          </w:p>
        </w:tc>
        <w:tc>
          <w:tcPr>
            <w:tcW w:w="1538" w:type="dxa"/>
            <w:vAlign w:val="center"/>
          </w:tcPr>
          <w:p w14:paraId="02F18F04">
            <w:pPr>
              <w:pStyle w:val="4"/>
              <w:widowControl w:val="0"/>
              <w:numPr>
                <w:ilvl w:val="0"/>
                <w:numId w:val="0"/>
              </w:numPr>
              <w:snapToGrid w:val="0"/>
              <w:spacing w:before="120" w:after="0" w:line="240" w:lineRule="auto"/>
              <w:ind w:firstLine="0" w:firstLineChars="0"/>
              <w:contextualSpacing/>
              <w:jc w:val="both"/>
              <w:outlineLvl w:val="1"/>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5份</w:t>
            </w:r>
          </w:p>
        </w:tc>
      </w:tr>
      <w:tr w14:paraId="3534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5BAFEF29">
            <w:pPr>
              <w:pStyle w:val="4"/>
              <w:widowControl w:val="0"/>
              <w:numPr>
                <w:ilvl w:val="0"/>
                <w:numId w:val="0"/>
              </w:numPr>
              <w:spacing w:line="240" w:lineRule="auto"/>
              <w:contextualSpacing/>
              <w:jc w:val="both"/>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基金投资业务类</w:t>
            </w:r>
          </w:p>
        </w:tc>
        <w:tc>
          <w:tcPr>
            <w:tcW w:w="6205" w:type="dxa"/>
            <w:vAlign w:val="center"/>
          </w:tcPr>
          <w:p w14:paraId="1DFB1DD0">
            <w:pPr>
              <w:pStyle w:val="4"/>
              <w:widowControl w:val="0"/>
              <w:numPr>
                <w:ilvl w:val="0"/>
                <w:numId w:val="0"/>
              </w:numPr>
              <w:snapToGrid/>
              <w:spacing w:before="120" w:after="0" w:line="240" w:lineRule="auto"/>
              <w:jc w:val="both"/>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交主办律师（现场负责人）或其他团队成员（如有）为地市级（含）以上国有企业、大型金融机构（注册资本1亿元及以上）或其控股子公司、中央企业总部或其省级分公司、一级子公司提供以下法律服务的业绩证明材料：</w:t>
            </w:r>
          </w:p>
          <w:p w14:paraId="752EC78F">
            <w:pPr>
              <w:pStyle w:val="4"/>
              <w:widowControl w:val="0"/>
              <w:numPr>
                <w:ilvl w:val="0"/>
                <w:numId w:val="0"/>
              </w:numPr>
              <w:snapToGrid/>
              <w:spacing w:before="120" w:after="0" w:line="240" w:lineRule="auto"/>
              <w:jc w:val="both"/>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（一）基金管理人登记相关服务；</w:t>
            </w:r>
          </w:p>
          <w:p w14:paraId="2226759F">
            <w:pPr>
              <w:pStyle w:val="4"/>
              <w:widowControl w:val="0"/>
              <w:numPr>
                <w:ilvl w:val="0"/>
                <w:numId w:val="0"/>
              </w:numPr>
              <w:snapToGrid/>
              <w:spacing w:before="120" w:after="0" w:line="240" w:lineRule="auto"/>
              <w:jc w:val="both"/>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（二）起草基金合同、对（母）基金拟投资的标的公司或子基金的管理人进行尽职调查等服务（本项针对股权投资基金或创业投资基金）；</w:t>
            </w:r>
          </w:p>
          <w:p w14:paraId="1F3A8D84">
            <w:pPr>
              <w:pStyle w:val="4"/>
              <w:widowControl w:val="0"/>
              <w:numPr>
                <w:ilvl w:val="0"/>
                <w:numId w:val="0"/>
              </w:numPr>
              <w:snapToGrid/>
              <w:spacing w:before="120" w:after="0" w:line="240" w:lineRule="auto"/>
              <w:jc w:val="both"/>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（三）政府投资基金设立方案撰写、协议起草或咨询等相关服务；</w:t>
            </w:r>
          </w:p>
          <w:p w14:paraId="69A73CC1">
            <w:pPr>
              <w:pStyle w:val="4"/>
              <w:widowControl w:val="0"/>
              <w:numPr>
                <w:ilvl w:val="0"/>
                <w:numId w:val="0"/>
              </w:numPr>
              <w:snapToGrid/>
              <w:spacing w:before="120" w:after="0" w:line="240" w:lineRule="auto"/>
              <w:jc w:val="both"/>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（四）基础设施领域不动产投资信托基金（REITs）设立、投资等相关服务；</w:t>
            </w:r>
          </w:p>
          <w:p w14:paraId="1A8B9D4F">
            <w:pPr>
              <w:pStyle w:val="4"/>
              <w:widowControl w:val="0"/>
              <w:numPr>
                <w:ilvl w:val="0"/>
                <w:numId w:val="0"/>
              </w:numPr>
              <w:snapToGrid/>
              <w:spacing w:before="120" w:after="0" w:line="240" w:lineRule="auto"/>
              <w:ind w:firstLine="0" w:firstLineChars="0"/>
              <w:jc w:val="both"/>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u w:val="none"/>
                <w:vertAlign w:val="baseline"/>
                <w:lang w:val="en-US" w:eastAsia="zh-CN"/>
              </w:rPr>
              <w:t>（五）QFLP基金设立、协议起草或咨询等相关服务。</w:t>
            </w:r>
          </w:p>
        </w:tc>
        <w:tc>
          <w:tcPr>
            <w:tcW w:w="1538" w:type="dxa"/>
            <w:vAlign w:val="center"/>
          </w:tcPr>
          <w:p w14:paraId="37E03AA4">
            <w:pPr>
              <w:pStyle w:val="4"/>
              <w:widowControl w:val="0"/>
              <w:numPr>
                <w:ilvl w:val="0"/>
                <w:numId w:val="0"/>
              </w:numPr>
              <w:snapToGrid/>
              <w:spacing w:before="120" w:after="0" w:line="240" w:lineRule="auto"/>
              <w:ind w:firstLine="0" w:firstLineChars="0"/>
              <w:jc w:val="both"/>
              <w:rPr>
                <w:rFonts w:hint="eastAsia" w:ascii="仿宋_GB2312" w:hAnsi="仿宋_GB2312" w:eastAsia="仿宋_GB2312" w:cs="仿宋_GB2312"/>
                <w:b w:val="0"/>
                <w:bCs/>
                <w:color w:val="auto"/>
                <w:sz w:val="24"/>
                <w:szCs w:val="24"/>
                <w:highlight w:val="none"/>
                <w:u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5份</w:t>
            </w:r>
          </w:p>
        </w:tc>
      </w:tr>
      <w:tr w14:paraId="25C7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13AF0046">
            <w:pPr>
              <w:pStyle w:val="4"/>
              <w:widowControl w:val="0"/>
              <w:numPr>
                <w:ilvl w:val="0"/>
                <w:numId w:val="0"/>
              </w:numPr>
              <w:spacing w:line="240" w:lineRule="auto"/>
              <w:contextualSpacing/>
              <w:jc w:val="both"/>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直接投资类</w:t>
            </w:r>
          </w:p>
        </w:tc>
        <w:tc>
          <w:tcPr>
            <w:tcW w:w="6205" w:type="dxa"/>
            <w:vAlign w:val="center"/>
          </w:tcPr>
          <w:p w14:paraId="2EC62E8B">
            <w:pPr>
              <w:pStyle w:val="4"/>
              <w:keepNext w:val="0"/>
              <w:keepLines w:val="0"/>
              <w:pageBreakBefore w:val="0"/>
              <w:widowControl/>
              <w:numPr>
                <w:ilvl w:val="-1"/>
                <w:numId w:val="0"/>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提</w:t>
            </w:r>
            <w:r>
              <w:rPr>
                <w:rFonts w:hint="eastAsia" w:ascii="仿宋_GB2312" w:hAnsi="仿宋_GB2312" w:eastAsia="仿宋_GB2312" w:cs="仿宋_GB2312"/>
                <w:b w:val="0"/>
                <w:bCs/>
                <w:color w:val="auto"/>
                <w:sz w:val="24"/>
                <w:szCs w:val="24"/>
                <w:highlight w:val="none"/>
                <w:vertAlign w:val="baseline"/>
                <w:lang w:val="en-US" w:eastAsia="zh-CN"/>
              </w:rPr>
              <w:t>交</w:t>
            </w:r>
            <w:r>
              <w:rPr>
                <w:rFonts w:hint="eastAsia" w:ascii="仿宋_GB2312" w:hAnsi="仿宋_GB2312" w:eastAsia="仿宋_GB2312" w:cs="仿宋_GB2312"/>
                <w:b w:val="0"/>
                <w:bCs/>
                <w:color w:val="auto"/>
                <w:lang w:val="en-US" w:eastAsia="zh-CN"/>
              </w:rPr>
              <w:t>主办律师（现场负责人）或其他团队成员（如有）为地市级（含）以上国有企业、大型金融机构（注册资本1亿元及以上）或其控股子公司、中央企业总部或其省级分公司、一级子公司提供以下领域股权投资法律服务的业绩证明材料：</w:t>
            </w:r>
          </w:p>
          <w:p w14:paraId="78AA2201">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数字经济</w:t>
            </w:r>
          </w:p>
          <w:p w14:paraId="3D96E5D8">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石油化工新材料</w:t>
            </w:r>
          </w:p>
          <w:p w14:paraId="6EE53B92">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现代生物医药</w:t>
            </w:r>
          </w:p>
          <w:p w14:paraId="416A54C6">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创新医疗器械研发转化</w:t>
            </w:r>
          </w:p>
          <w:p w14:paraId="16472FD1">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高端装备制造</w:t>
            </w:r>
          </w:p>
          <w:p w14:paraId="54C02F21">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软件和集成电路</w:t>
            </w:r>
          </w:p>
          <w:p w14:paraId="6D4D8080">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新能源和节能环保</w:t>
            </w:r>
          </w:p>
          <w:p w14:paraId="33493DCE">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深海科技</w:t>
            </w:r>
          </w:p>
          <w:p w14:paraId="55DEBDCC">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南繁育种</w:t>
            </w:r>
          </w:p>
          <w:p w14:paraId="07EDB510">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航天科技</w:t>
            </w:r>
          </w:p>
          <w:p w14:paraId="3B0B52A9">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设计产业</w:t>
            </w:r>
          </w:p>
          <w:p w14:paraId="0F07333C">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高端健康食品加工</w:t>
            </w:r>
          </w:p>
          <w:p w14:paraId="58FC3AB8">
            <w:pPr>
              <w:pStyle w:val="4"/>
              <w:keepNext w:val="0"/>
              <w:keepLines w:val="0"/>
              <w:pageBreakBefore w:val="0"/>
              <w:widowControl/>
              <w:numPr>
                <w:ilvl w:val="0"/>
                <w:numId w:val="7"/>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热带高效农业</w:t>
            </w:r>
          </w:p>
          <w:p w14:paraId="2DC193E3">
            <w:pPr>
              <w:pStyle w:val="4"/>
              <w:widowControl w:val="0"/>
              <w:numPr>
                <w:ilvl w:val="0"/>
                <w:numId w:val="7"/>
              </w:numPr>
              <w:spacing w:before="0" w:after="0" w:line="240" w:lineRule="auto"/>
              <w:ind w:firstLine="0" w:firstLineChars="0"/>
              <w:contextualSpacing/>
              <w:jc w:val="left"/>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文化旅游</w:t>
            </w:r>
          </w:p>
          <w:p w14:paraId="313F21F9">
            <w:pPr>
              <w:pStyle w:val="4"/>
              <w:widowControl w:val="0"/>
              <w:numPr>
                <w:ilvl w:val="0"/>
                <w:numId w:val="7"/>
              </w:numPr>
              <w:spacing w:before="0" w:after="0" w:line="240" w:lineRule="auto"/>
              <w:ind w:firstLine="0" w:firstLineChars="0"/>
              <w:contextualSpacing/>
              <w:jc w:val="left"/>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仓储物流</w:t>
            </w:r>
          </w:p>
          <w:p w14:paraId="61A4CFBE">
            <w:pPr>
              <w:widowControl w:val="0"/>
              <w:spacing w:after="0" w:line="240" w:lineRule="auto"/>
              <w:ind w:left="0" w:leftChars="0" w:firstLine="0" w:firstLineChars="0"/>
              <w:jc w:val="both"/>
              <w:rPr>
                <w:rFonts w:hint="eastAsia"/>
                <w:lang w:val="en-US" w:eastAsia="zh-CN"/>
              </w:rPr>
            </w:pPr>
            <w:r>
              <w:rPr>
                <w:rFonts w:hint="eastAsia" w:ascii="仿宋_GB2312" w:hAnsi="仿宋_GB2312" w:eastAsia="仿宋_GB2312" w:cs="仿宋_GB2312"/>
                <w:b w:val="0"/>
                <w:bCs/>
                <w:color w:val="auto"/>
                <w:sz w:val="24"/>
                <w:szCs w:val="26"/>
                <w:vertAlign w:val="baseline"/>
                <w:lang w:val="en-US" w:eastAsia="zh-CN"/>
              </w:rPr>
              <w:t>每个团队最多可选择其中三个领域提交证明材料，超出该数量的，以评审得分最低的三个领域为准。</w:t>
            </w:r>
          </w:p>
        </w:tc>
        <w:tc>
          <w:tcPr>
            <w:tcW w:w="1538" w:type="dxa"/>
            <w:vAlign w:val="center"/>
          </w:tcPr>
          <w:p w14:paraId="5733E171">
            <w:pPr>
              <w:widowControl w:val="0"/>
              <w:spacing w:after="0" w:line="240" w:lineRule="auto"/>
              <w:ind w:left="0" w:leftChars="0" w:firstLine="0" w:firstLineChars="0"/>
              <w:jc w:val="both"/>
              <w:rPr>
                <w:rFonts w:hint="eastAsia" w:ascii="仿宋_GB2312" w:hAnsi="仿宋_GB2312" w:eastAsia="仿宋_GB2312" w:cs="仿宋_GB2312"/>
                <w:b w:val="0"/>
                <w:bCs/>
                <w:color w:val="auto"/>
                <w:sz w:val="24"/>
                <w:szCs w:val="26"/>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就各细分领域分别为5份，且合计上限为14份</w:t>
            </w:r>
          </w:p>
        </w:tc>
      </w:tr>
      <w:tr w14:paraId="1A7A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69087673">
            <w:pPr>
              <w:pStyle w:val="4"/>
              <w:widowControl w:val="0"/>
              <w:numPr>
                <w:ilvl w:val="0"/>
                <w:numId w:val="0"/>
              </w:numPr>
              <w:spacing w:line="240" w:lineRule="auto"/>
              <w:contextualSpacing/>
              <w:jc w:val="both"/>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金融股权投资类</w:t>
            </w:r>
          </w:p>
        </w:tc>
        <w:tc>
          <w:tcPr>
            <w:tcW w:w="6205" w:type="dxa"/>
            <w:vAlign w:val="center"/>
          </w:tcPr>
          <w:p w14:paraId="314DC508">
            <w:pPr>
              <w:pStyle w:val="4"/>
              <w:keepNext w:val="0"/>
              <w:keepLines w:val="0"/>
              <w:pageBreakBefore w:val="0"/>
              <w:widowControl/>
              <w:numPr>
                <w:ilvl w:val="-1"/>
                <w:numId w:val="0"/>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提</w:t>
            </w:r>
            <w:r>
              <w:rPr>
                <w:rFonts w:hint="eastAsia" w:ascii="仿宋_GB2312" w:hAnsi="仿宋_GB2312" w:eastAsia="仿宋_GB2312" w:cs="仿宋_GB2312"/>
                <w:b w:val="0"/>
                <w:bCs/>
                <w:color w:val="auto"/>
                <w:sz w:val="24"/>
                <w:szCs w:val="24"/>
                <w:highlight w:val="none"/>
                <w:vertAlign w:val="baseline"/>
                <w:lang w:val="en-US" w:eastAsia="zh-CN"/>
              </w:rPr>
              <w:t>交</w:t>
            </w:r>
            <w:r>
              <w:rPr>
                <w:rFonts w:hint="eastAsia" w:ascii="仿宋_GB2312" w:hAnsi="仿宋_GB2312" w:eastAsia="仿宋_GB2312" w:cs="仿宋_GB2312"/>
                <w:b w:val="0"/>
                <w:bCs/>
                <w:color w:val="auto"/>
                <w:lang w:val="en-US" w:eastAsia="zh-CN"/>
              </w:rPr>
              <w:t>主办律师（现场负责人）或其他团队成员（如有）为地市级（含）以上国有企业、大型金融机构（注册资本1亿元及以上）或其控股子公司、中央企业总部或其省级分公司、一级子公司提供以下类型金融股权投资法律服务的业绩证明材料：</w:t>
            </w:r>
          </w:p>
          <w:p w14:paraId="192621BB">
            <w:pPr>
              <w:pStyle w:val="4"/>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商业银行（</w:t>
            </w:r>
            <w:r>
              <w:rPr>
                <w:rFonts w:hint="eastAsia" w:ascii="仿宋_GB2312" w:hAnsi="仿宋_GB2312" w:eastAsia="仿宋_GB2312" w:cs="仿宋_GB2312"/>
                <w:b w:val="0"/>
                <w:bCs/>
                <w:color w:val="auto"/>
                <w:lang w:val="en-US"/>
              </w:rPr>
              <w:t>不含村镇银行）</w:t>
            </w:r>
          </w:p>
          <w:p w14:paraId="3F4BC3A4">
            <w:pPr>
              <w:pStyle w:val="4"/>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信托公司、金融资产管理公司</w:t>
            </w:r>
          </w:p>
          <w:p w14:paraId="6B9E9AE1">
            <w:pPr>
              <w:pStyle w:val="4"/>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证券公司、公募基金管理公司、期货公司</w:t>
            </w:r>
          </w:p>
          <w:p w14:paraId="5E1FFE99">
            <w:pPr>
              <w:pStyle w:val="4"/>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保险公司、再保险公司、保险资管公司</w:t>
            </w:r>
          </w:p>
          <w:p w14:paraId="658D7BB9">
            <w:pPr>
              <w:pStyle w:val="4"/>
              <w:keepNext w:val="0"/>
              <w:keepLines w:val="0"/>
              <w:pageBreakBefore w:val="0"/>
              <w:widowControl/>
              <w:numPr>
                <w:ilvl w:val="0"/>
                <w:numId w:val="8"/>
              </w:numPr>
              <w:kinsoku/>
              <w:wordWrap/>
              <w:overflowPunct/>
              <w:topLinePunct w:val="0"/>
              <w:autoSpaceDE/>
              <w:autoSpaceDN/>
              <w:bidi w:val="0"/>
              <w:adjustRightInd/>
              <w:snapToGrid/>
              <w:spacing w:before="0" w:after="0" w:line="240" w:lineRule="auto"/>
              <w:ind w:left="0" w:leftChars="0" w:firstLine="0" w:firstLineChars="0"/>
              <w:contextualSpacing/>
              <w:jc w:val="left"/>
              <w:textAlignment w:val="auto"/>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金融租赁公司、融资租赁公司</w:t>
            </w:r>
          </w:p>
          <w:p w14:paraId="0F2E8B5C">
            <w:pPr>
              <w:pStyle w:val="4"/>
              <w:widowControl w:val="0"/>
              <w:numPr>
                <w:ilvl w:val="0"/>
                <w:numId w:val="8"/>
              </w:numPr>
              <w:spacing w:before="0" w:after="0" w:line="240" w:lineRule="auto"/>
              <w:ind w:firstLine="0" w:firstLineChars="0"/>
              <w:contextualSpacing/>
              <w:jc w:val="left"/>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消费金融公司、商业保理公司、小贷公司、融资担保公司</w:t>
            </w:r>
          </w:p>
          <w:p w14:paraId="065D81D8">
            <w:pPr>
              <w:pStyle w:val="4"/>
              <w:widowControl w:val="0"/>
              <w:numPr>
                <w:ilvl w:val="0"/>
                <w:numId w:val="8"/>
              </w:numPr>
              <w:spacing w:before="0" w:after="0" w:line="240" w:lineRule="auto"/>
              <w:ind w:firstLine="0" w:firstLineChars="0"/>
              <w:contextualSpacing/>
              <w:jc w:val="left"/>
              <w:outlineLvl w:val="1"/>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lang w:val="en-US" w:eastAsia="zh-CN"/>
              </w:rPr>
              <w:t>征信公司、第三方支付公司</w:t>
            </w:r>
          </w:p>
          <w:p w14:paraId="4C4BCDD8">
            <w:pPr>
              <w:widowControl w:val="0"/>
              <w:spacing w:after="0" w:line="240" w:lineRule="auto"/>
              <w:ind w:firstLine="0" w:firstLineChars="0"/>
              <w:jc w:val="both"/>
              <w:rPr>
                <w:rFonts w:hint="eastAsia"/>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每个团队最多可选择其中一种类型提交证明材料，超出该数量的，以评审得分最高的类型为准。</w:t>
            </w:r>
          </w:p>
        </w:tc>
        <w:tc>
          <w:tcPr>
            <w:tcW w:w="1538" w:type="dxa"/>
            <w:vAlign w:val="center"/>
          </w:tcPr>
          <w:p w14:paraId="00FB2716">
            <w:pPr>
              <w:widowControl w:val="0"/>
              <w:spacing w:after="0" w:line="240" w:lineRule="auto"/>
              <w:ind w:firstLine="0" w:firstLineChars="0"/>
              <w:jc w:val="both"/>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就各细分领域上限分别为5份，且合计上限为14份</w:t>
            </w:r>
          </w:p>
        </w:tc>
      </w:tr>
      <w:tr w14:paraId="04D7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0D645634">
            <w:pPr>
              <w:pStyle w:val="4"/>
              <w:widowControl w:val="0"/>
              <w:numPr>
                <w:ilvl w:val="0"/>
                <w:numId w:val="0"/>
              </w:numPr>
              <w:spacing w:line="240" w:lineRule="auto"/>
              <w:contextualSpacing/>
              <w:jc w:val="both"/>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兼并重组类</w:t>
            </w:r>
          </w:p>
        </w:tc>
        <w:tc>
          <w:tcPr>
            <w:tcW w:w="6205" w:type="dxa"/>
            <w:vAlign w:val="center"/>
          </w:tcPr>
          <w:p w14:paraId="69CE9127">
            <w:pPr>
              <w:pStyle w:val="4"/>
              <w:widowControl w:val="0"/>
              <w:numPr>
                <w:ilvl w:val="0"/>
                <w:numId w:val="0"/>
              </w:numPr>
              <w:spacing w:before="0" w:after="0" w:line="240" w:lineRule="auto"/>
              <w:ind w:firstLine="0" w:firstLineChars="0"/>
              <w:contextualSpacing/>
              <w:jc w:val="left"/>
              <w:outlineLvl w:val="1"/>
              <w:rPr>
                <w:rFonts w:hint="eastAsia" w:ascii="仿宋_GB2312" w:hAnsi="仿宋_GB2312" w:eastAsia="仿宋_GB2312" w:cs="仿宋_GB2312"/>
                <w:b w:val="0"/>
                <w:bCs/>
                <w:color w:val="auto"/>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交主办律师（现场负责人）或其他团队成员（如有）为地市级（含）以上国有企业、大型金融机构（注册资本1亿元及以上）或其控股子公司、中央企业总部或其省级分公司、一级子公司提供与重组、合并或收购上市公司或非上市公司相关法律服务的业绩证明材料。</w:t>
            </w:r>
          </w:p>
        </w:tc>
        <w:tc>
          <w:tcPr>
            <w:tcW w:w="1538" w:type="dxa"/>
            <w:vAlign w:val="center"/>
          </w:tcPr>
          <w:p w14:paraId="79891120">
            <w:pPr>
              <w:pStyle w:val="4"/>
              <w:widowControl w:val="0"/>
              <w:numPr>
                <w:ilvl w:val="0"/>
                <w:numId w:val="0"/>
              </w:numPr>
              <w:spacing w:before="0" w:after="0" w:line="240" w:lineRule="auto"/>
              <w:ind w:firstLine="0" w:firstLineChars="0"/>
              <w:contextualSpacing/>
              <w:jc w:val="left"/>
              <w:outlineLvl w:val="1"/>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5份</w:t>
            </w:r>
          </w:p>
        </w:tc>
      </w:tr>
      <w:tr w14:paraId="1101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center"/>
          </w:tcPr>
          <w:p w14:paraId="13299C84">
            <w:pPr>
              <w:pStyle w:val="4"/>
              <w:widowControl w:val="0"/>
              <w:numPr>
                <w:ilvl w:val="0"/>
                <w:numId w:val="0"/>
              </w:numPr>
              <w:spacing w:line="240" w:lineRule="auto"/>
              <w:contextualSpacing/>
              <w:jc w:val="both"/>
              <w:outlineLvl w:val="1"/>
              <w:rPr>
                <w:rFonts w:hint="eastAsia" w:ascii="仿宋_GB2312" w:hAnsi="仿宋_GB2312" w:eastAsia="仿宋_GB2312" w:cs="仿宋_GB2312"/>
                <w:b/>
                <w:bCs w:val="0"/>
                <w:color w:val="auto"/>
                <w:szCs w:val="24"/>
                <w:highlight w:val="none"/>
                <w:vertAlign w:val="baseline"/>
                <w:lang w:val="en-US" w:eastAsia="zh-CN"/>
              </w:rPr>
            </w:pPr>
            <w:r>
              <w:rPr>
                <w:rFonts w:hint="eastAsia" w:ascii="仿宋_GB2312" w:hAnsi="仿宋_GB2312" w:eastAsia="仿宋_GB2312" w:cs="仿宋_GB2312"/>
                <w:b/>
                <w:bCs w:val="0"/>
                <w:color w:val="auto"/>
                <w:sz w:val="24"/>
                <w:szCs w:val="24"/>
                <w:highlight w:val="none"/>
                <w:vertAlign w:val="baseline"/>
                <w:lang w:val="en-US" w:eastAsia="zh-CN"/>
              </w:rPr>
              <w:t>涉外业务类</w:t>
            </w:r>
          </w:p>
        </w:tc>
        <w:tc>
          <w:tcPr>
            <w:tcW w:w="6205" w:type="dxa"/>
            <w:vAlign w:val="center"/>
          </w:tcPr>
          <w:p w14:paraId="37938312">
            <w:pPr>
              <w:pStyle w:val="4"/>
              <w:widowControl w:val="0"/>
              <w:numPr>
                <w:ilvl w:val="0"/>
                <w:numId w:val="0"/>
              </w:numPr>
              <w:spacing w:before="120" w:line="240" w:lineRule="auto"/>
              <w:contextualSpacing/>
              <w:jc w:val="both"/>
              <w:outlineLvl w:val="1"/>
              <w:rPr>
                <w:rFonts w:hint="default" w:ascii="仿宋_GB2312" w:hAnsi="仿宋_GB2312" w:eastAsia="仿宋_GB2312" w:cs="仿宋_GB2312"/>
                <w:b w:val="0"/>
                <w:bCs/>
                <w:color w:val="auto"/>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提交主办律师（现场负责人）或其他团队成员（如有）为地市级（含）以上国有企业、大型金融机构（注册资本1亿元及以上）或其控股子公司、中央企业总部或其省级分公司、一级子公司提供与跨境并购、跨境投资相关法律服务的业绩证明材料。</w:t>
            </w:r>
          </w:p>
        </w:tc>
        <w:tc>
          <w:tcPr>
            <w:tcW w:w="1538" w:type="dxa"/>
            <w:vAlign w:val="center"/>
          </w:tcPr>
          <w:p w14:paraId="21671311">
            <w:pPr>
              <w:pStyle w:val="4"/>
              <w:widowControl w:val="0"/>
              <w:numPr>
                <w:ilvl w:val="0"/>
                <w:numId w:val="0"/>
              </w:numPr>
              <w:spacing w:before="120" w:line="240" w:lineRule="auto"/>
              <w:contextualSpacing/>
              <w:jc w:val="both"/>
              <w:outlineLvl w:val="1"/>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5份</w:t>
            </w:r>
          </w:p>
        </w:tc>
      </w:tr>
      <w:tr w14:paraId="2CD2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tcPr>
          <w:p w14:paraId="302E8FB0">
            <w:pPr>
              <w:pStyle w:val="4"/>
              <w:widowControl w:val="0"/>
              <w:numPr>
                <w:ilvl w:val="0"/>
                <w:numId w:val="0"/>
              </w:numPr>
              <w:spacing w:before="120" w:after="0" w:line="240" w:lineRule="auto"/>
              <w:contextualSpacing/>
              <w:jc w:val="both"/>
              <w:outlineLvl w:val="1"/>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注：地市级（含）以上国有企业指其股东、出资人为地市级（含）以上政府（含其组建的管理单位，如管委会等）、财政部门或国资委的国有企业。</w:t>
            </w:r>
          </w:p>
        </w:tc>
      </w:tr>
      <w:bookmarkEnd w:id="0"/>
    </w:tbl>
    <w:p w14:paraId="7EAE7838">
      <w:pPr>
        <w:pStyle w:val="2"/>
        <w:rPr>
          <w:rFonts w:hint="eastAsia" w:ascii="仿宋_GB2312" w:hAnsi="宋体" w:eastAsia="仿宋_GB2312" w:cs="仿宋"/>
          <w:b w:val="0"/>
          <w:bCs w:val="0"/>
          <w:sz w:val="32"/>
          <w:szCs w:val="32"/>
          <w:highlight w:val="none"/>
          <w:vertAlign w:val="baseline"/>
          <w:lang w:val="en-US" w:eastAsia="zh-CN" w:bidi="ar-SA"/>
        </w:rPr>
      </w:pPr>
    </w:p>
    <w:p w14:paraId="7993B957">
      <w:pPr>
        <w:pStyle w:val="2"/>
        <w:rPr>
          <w:rFonts w:hint="eastAsia" w:ascii="仿宋_GB2312" w:hAnsi="宋体" w:eastAsia="仿宋_GB2312" w:cs="仿宋"/>
          <w:b w:val="0"/>
          <w:bCs w:val="0"/>
          <w:sz w:val="32"/>
          <w:szCs w:val="32"/>
          <w:highlight w:val="none"/>
          <w:vertAlign w:val="baseline"/>
          <w:lang w:val="en-US" w:eastAsia="zh-CN" w:bidi="ar-SA"/>
        </w:rPr>
        <w:sectPr>
          <w:pgSz w:w="11906" w:h="16838"/>
          <w:pgMar w:top="1440" w:right="1440" w:bottom="1440" w:left="1440" w:header="709" w:footer="709" w:gutter="0"/>
          <w:pgNumType w:fmt="numberInDash"/>
          <w:cols w:space="708" w:num="1"/>
          <w:docGrid w:linePitch="435" w:charSpace="0"/>
        </w:sectPr>
      </w:pPr>
    </w:p>
    <w:p w14:paraId="2A937483">
      <w:pPr>
        <w:keepNext w:val="0"/>
        <w:keepLines w:val="0"/>
        <w:pageBreakBefore w:val="0"/>
        <w:widowControl w:val="0"/>
        <w:numPr>
          <w:ilvl w:val="0"/>
          <w:numId w:val="1"/>
        </w:numPr>
        <w:kinsoku/>
        <w:wordWrap/>
        <w:overflowPunct/>
        <w:topLinePunct w:val="0"/>
        <w:autoSpaceDE/>
        <w:autoSpaceDN/>
        <w:bidi w:val="0"/>
        <w:adjustRightInd/>
        <w:snapToGrid/>
        <w:spacing w:after="437" w:afterLines="100" w:line="578" w:lineRule="exact"/>
        <w:ind w:left="0" w:leftChars="0" w:firstLine="0" w:firstLineChars="0"/>
        <w:jc w:val="center"/>
        <w:textAlignment w:val="auto"/>
        <w:rPr>
          <w:rFonts w:hint="eastAsia" w:ascii="黑体" w:hAnsi="黑体" w:eastAsia="黑体" w:cs="黑体"/>
          <w:kern w:val="2"/>
          <w:sz w:val="36"/>
          <w:szCs w:val="36"/>
          <w:highlight w:val="none"/>
          <w:lang w:val="en-US" w:eastAsia="zh-CN"/>
        </w:rPr>
      </w:pPr>
      <w:r>
        <w:rPr>
          <w:rFonts w:hint="eastAsia" w:ascii="黑体" w:hAnsi="黑体" w:eastAsia="黑体" w:cs="黑体"/>
          <w:kern w:val="2"/>
          <w:sz w:val="36"/>
          <w:szCs w:val="36"/>
          <w:highlight w:val="none"/>
          <w:lang w:val="en-US" w:eastAsia="zh-CN"/>
        </w:rPr>
        <w:t>申请文件</w:t>
      </w:r>
    </w:p>
    <w:p w14:paraId="4B0C007A">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申请文件递交</w:t>
      </w:r>
    </w:p>
    <w:p w14:paraId="1C960445">
      <w:pPr>
        <w:pageBreakBefore w:val="0"/>
        <w:widowControl w:val="0"/>
        <w:numPr>
          <w:ilvl w:val="0"/>
          <w:numId w:val="10"/>
        </w:numPr>
        <w:tabs>
          <w:tab w:val="left" w:pos="142"/>
        </w:tabs>
        <w:kinsoku/>
        <w:overflowPunct/>
        <w:topLinePunct w:val="0"/>
        <w:autoSpaceDE/>
        <w:autoSpaceDN/>
        <w:bidi w:val="0"/>
        <w:spacing w:after="0" w:line="578" w:lineRule="exact"/>
        <w:ind w:firstLineChars="0"/>
        <w:jc w:val="both"/>
        <w:textAlignment w:val="auto"/>
        <w:rPr>
          <w:rFonts w:hint="default" w:ascii="楷体" w:hAnsi="楷体" w:eastAsia="楷体" w:cs="楷体"/>
          <w:lang w:val="en-US" w:eastAsia="zh-CN"/>
        </w:rPr>
      </w:pPr>
      <w:r>
        <w:rPr>
          <w:rFonts w:hint="eastAsia" w:ascii="楷体" w:hAnsi="楷体" w:eastAsia="楷体" w:cs="楷体"/>
          <w:lang w:val="en-US" w:eastAsia="zh-CN"/>
        </w:rPr>
        <w:t>收件信息</w:t>
      </w:r>
    </w:p>
    <w:p w14:paraId="0E939DAC">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收件地址：</w:t>
      </w:r>
      <w:r>
        <w:rPr>
          <w:rFonts w:ascii="仿宋_GB2312" w:hAnsi="宋体" w:eastAsia="仿宋_GB2312"/>
          <w:lang w:eastAsia="zh-CN"/>
        </w:rPr>
        <w:t>海南省海口市龙华区滨海大道105号百方广场A座16层</w:t>
      </w:r>
      <w:r>
        <w:rPr>
          <w:rFonts w:hint="eastAsia" w:ascii="仿宋_GB2312" w:hAnsi="宋体" w:eastAsia="仿宋_GB2312"/>
          <w:lang w:eastAsia="zh-CN"/>
        </w:rPr>
        <w:t xml:space="preserve"> 海南省财金集团有限公司</w:t>
      </w:r>
      <w:r>
        <w:rPr>
          <w:rFonts w:hint="eastAsia" w:ascii="仿宋_GB2312" w:hAnsi="宋体" w:eastAsia="仿宋_GB2312"/>
          <w:lang w:val="en-US" w:eastAsia="zh-CN"/>
        </w:rPr>
        <w:t xml:space="preserve"> </w:t>
      </w:r>
    </w:p>
    <w:p w14:paraId="6FFD8C92">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收件人：陈女士</w:t>
      </w:r>
    </w:p>
    <w:p w14:paraId="39296CC7">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default" w:ascii="仿宋_GB2312" w:hAnsi="宋体" w:eastAsia="仿宋_GB2312"/>
          <w:lang w:val="en-US" w:eastAsia="zh-CN"/>
        </w:rPr>
      </w:pPr>
      <w:r>
        <w:rPr>
          <w:rFonts w:hint="eastAsia" w:ascii="仿宋_GB2312" w:hAnsi="仿宋_GB2312" w:eastAsia="仿宋_GB2312" w:cs="仿宋_GB2312"/>
          <w:sz w:val="32"/>
          <w:szCs w:val="32"/>
          <w:highlight w:val="none"/>
          <w:lang w:val="en-US" w:eastAsia="zh-CN"/>
        </w:rPr>
        <w:t>联系电话：0898-68662095</w:t>
      </w:r>
    </w:p>
    <w:p w14:paraId="12A2D3D0">
      <w:pPr>
        <w:pageBreakBefore w:val="0"/>
        <w:widowControl w:val="0"/>
        <w:numPr>
          <w:ilvl w:val="0"/>
          <w:numId w:val="10"/>
        </w:numPr>
        <w:tabs>
          <w:tab w:val="left" w:pos="142"/>
        </w:tabs>
        <w:kinsoku/>
        <w:overflowPunct/>
        <w:topLinePunct w:val="0"/>
        <w:autoSpaceDE/>
        <w:autoSpaceDN/>
        <w:bidi w:val="0"/>
        <w:spacing w:after="0" w:line="578" w:lineRule="exact"/>
        <w:ind w:firstLineChars="0"/>
        <w:jc w:val="both"/>
        <w:textAlignment w:val="auto"/>
        <w:rPr>
          <w:rFonts w:ascii="楷体" w:hAnsi="楷体" w:eastAsia="楷体" w:cs="楷体"/>
          <w:lang w:eastAsia="zh-CN"/>
        </w:rPr>
      </w:pPr>
      <w:r>
        <w:rPr>
          <w:rFonts w:hint="eastAsia" w:ascii="楷体" w:hAnsi="楷体" w:eastAsia="楷体" w:cs="楷体"/>
          <w:lang w:eastAsia="zh-CN"/>
        </w:rPr>
        <w:t>申请文件递交截止时间</w:t>
      </w:r>
    </w:p>
    <w:p w14:paraId="2F69779F">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eastAsia="zh-CN"/>
        </w:rPr>
      </w:pPr>
      <w:r>
        <w:rPr>
          <w:rFonts w:hint="eastAsia" w:ascii="仿宋_GB2312" w:hAnsi="宋体" w:eastAsia="仿宋_GB2312"/>
          <w:lang w:val="en-US" w:eastAsia="zh-CN"/>
        </w:rPr>
        <w:t>申请文件应于</w:t>
      </w:r>
      <w:r>
        <w:rPr>
          <w:rFonts w:hint="eastAsia" w:ascii="仿宋_GB2312" w:hAnsi="宋体" w:eastAsia="仿宋_GB2312"/>
          <w:b w:val="0"/>
          <w:bCs w:val="0"/>
          <w:highlight w:val="none"/>
          <w:lang w:eastAsia="zh-CN"/>
        </w:rPr>
        <w:t>202</w:t>
      </w:r>
      <w:r>
        <w:rPr>
          <w:rFonts w:hint="eastAsia" w:ascii="仿宋_GB2312" w:hAnsi="宋体" w:eastAsia="仿宋_GB2312"/>
          <w:b w:val="0"/>
          <w:bCs w:val="0"/>
          <w:highlight w:val="none"/>
          <w:lang w:val="en-US" w:eastAsia="zh-CN"/>
        </w:rPr>
        <w:t>5</w:t>
      </w:r>
      <w:r>
        <w:rPr>
          <w:rFonts w:hint="eastAsia" w:ascii="仿宋_GB2312" w:hAnsi="宋体" w:eastAsia="仿宋_GB2312"/>
          <w:b w:val="0"/>
          <w:bCs w:val="0"/>
          <w:highlight w:val="none"/>
          <w:lang w:eastAsia="zh-CN"/>
        </w:rPr>
        <w:t>年</w:t>
      </w:r>
      <w:r>
        <w:rPr>
          <w:rFonts w:hint="eastAsia" w:ascii="仿宋_GB2312" w:hAnsi="宋体" w:eastAsia="仿宋_GB2312"/>
          <w:b w:val="0"/>
          <w:bCs w:val="0"/>
          <w:highlight w:val="none"/>
          <w:lang w:val="en-US" w:eastAsia="zh-CN"/>
        </w:rPr>
        <w:t>8</w:t>
      </w:r>
      <w:r>
        <w:rPr>
          <w:rFonts w:hint="eastAsia" w:ascii="仿宋_GB2312" w:hAnsi="宋体" w:eastAsia="仿宋_GB2312"/>
          <w:b w:val="0"/>
          <w:bCs w:val="0"/>
          <w:highlight w:val="none"/>
          <w:lang w:eastAsia="zh-CN"/>
        </w:rPr>
        <w:t>月</w:t>
      </w:r>
      <w:r>
        <w:rPr>
          <w:rFonts w:hint="eastAsia" w:ascii="仿宋_GB2312" w:hAnsi="宋体" w:eastAsia="仿宋_GB2312"/>
          <w:b w:val="0"/>
          <w:bCs w:val="0"/>
          <w:highlight w:val="none"/>
          <w:lang w:val="en-US" w:eastAsia="zh-CN"/>
        </w:rPr>
        <w:t>13</w:t>
      </w:r>
      <w:r>
        <w:rPr>
          <w:rFonts w:hint="eastAsia" w:ascii="仿宋_GB2312" w:hAnsi="宋体" w:eastAsia="仿宋_GB2312"/>
          <w:b w:val="0"/>
          <w:bCs w:val="0"/>
          <w:highlight w:val="none"/>
          <w:lang w:eastAsia="zh-CN"/>
        </w:rPr>
        <w:t>日18:00</w:t>
      </w:r>
      <w:r>
        <w:rPr>
          <w:rFonts w:hint="eastAsia" w:ascii="仿宋_GB2312" w:hAnsi="宋体" w:eastAsia="仿宋_GB2312"/>
          <w:b w:val="0"/>
          <w:bCs w:val="0"/>
          <w:highlight w:val="none"/>
          <w:lang w:val="en-US" w:eastAsia="zh-CN"/>
        </w:rPr>
        <w:t>前</w:t>
      </w:r>
      <w:r>
        <w:rPr>
          <w:rFonts w:hint="eastAsia" w:ascii="仿宋_GB2312" w:hAnsi="宋体" w:eastAsia="仿宋_GB2312"/>
          <w:b w:val="0"/>
          <w:bCs w:val="0"/>
          <w:lang w:val="en-US" w:eastAsia="zh-CN"/>
        </w:rPr>
        <w:t>送达</w:t>
      </w:r>
      <w:r>
        <w:rPr>
          <w:rFonts w:hint="eastAsia" w:ascii="仿宋_GB2312" w:hAnsi="宋体" w:eastAsia="仿宋_GB2312"/>
          <w:lang w:eastAsia="zh-CN"/>
        </w:rPr>
        <w:t>，逾期送达恕不接受。</w:t>
      </w:r>
    </w:p>
    <w:p w14:paraId="6CA8512F">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eastAsia="zh-CN"/>
        </w:rPr>
      </w:pPr>
      <w:r>
        <w:rPr>
          <w:rFonts w:hint="eastAsia" w:ascii="仿宋_GB2312" w:hAnsi="宋体" w:eastAsia="仿宋_GB2312"/>
          <w:lang w:val="en-US" w:eastAsia="zh-CN"/>
        </w:rPr>
        <w:t>送达时间以海南财金集团收到申请文件为准</w:t>
      </w:r>
      <w:r>
        <w:rPr>
          <w:rFonts w:hint="eastAsia" w:ascii="仿宋_GB2312" w:hAnsi="宋体" w:eastAsia="仿宋_GB2312"/>
          <w:lang w:eastAsia="zh-CN"/>
        </w:rPr>
        <w:t>。</w:t>
      </w:r>
    </w:p>
    <w:p w14:paraId="273333CE">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ascii="黑体" w:hAnsi="黑体" w:eastAsia="黑体" w:cs="黑体"/>
          <w:b w:val="0"/>
          <w:bCs w:val="0"/>
          <w:sz w:val="32"/>
          <w:szCs w:val="32"/>
          <w:lang w:val="en-US"/>
        </w:rPr>
      </w:pPr>
      <w:r>
        <w:rPr>
          <w:rFonts w:hint="eastAsia" w:ascii="黑体" w:hAnsi="黑体" w:eastAsia="黑体" w:cs="黑体"/>
          <w:b w:val="0"/>
          <w:bCs w:val="0"/>
          <w:sz w:val="32"/>
          <w:szCs w:val="32"/>
          <w:highlight w:val="none"/>
          <w:lang w:val="en-US" w:eastAsia="zh-CN"/>
        </w:rPr>
        <w:t>申请文件编制要求</w:t>
      </w:r>
    </w:p>
    <w:p w14:paraId="31E63ADD">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申请人应按照附件1《申请文件模板》的要求编制申请文件，每份申请文件需单独成册，</w:t>
      </w:r>
      <w:r>
        <w:rPr>
          <w:rFonts w:hint="eastAsia" w:ascii="仿宋_GB2312" w:hAnsi="仿宋_GB2312" w:eastAsia="仿宋_GB2312" w:cs="仿宋_GB2312"/>
          <w:b/>
          <w:bCs/>
          <w:sz w:val="32"/>
          <w:szCs w:val="32"/>
          <w:highlight w:val="none"/>
          <w:lang w:val="en-US" w:eastAsia="zh-CN"/>
        </w:rPr>
        <w:t>申请文件应双面打印</w:t>
      </w:r>
      <w:r>
        <w:rPr>
          <w:rFonts w:hint="eastAsia" w:ascii="仿宋_GB2312" w:hAnsi="仿宋_GB2312" w:eastAsia="仿宋_GB2312" w:cs="仿宋_GB2312"/>
          <w:sz w:val="32"/>
          <w:szCs w:val="32"/>
          <w:highlight w:val="none"/>
          <w:lang w:val="en-US" w:eastAsia="zh-CN"/>
        </w:rPr>
        <w:t>。</w:t>
      </w:r>
    </w:p>
    <w:p w14:paraId="15519D58">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申请文件数量</w:t>
      </w:r>
    </w:p>
    <w:p w14:paraId="2519E218">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申请文件应准备正本一份，副本五份。</w:t>
      </w:r>
    </w:p>
    <w:p w14:paraId="5E966D69">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申请人应在申请文件封面注明“正本”或“副本”。正本和副本如有不一致之处，以正本为准。</w:t>
      </w:r>
    </w:p>
    <w:p w14:paraId="33D1634F">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申请文件签章、密封与标志要求</w:t>
      </w:r>
    </w:p>
    <w:p w14:paraId="75627252">
      <w:pPr>
        <w:keepNext w:val="0"/>
        <w:keepLines w:val="0"/>
        <w:pageBreakBefore w:val="0"/>
        <w:widowControl w:val="0"/>
        <w:numPr>
          <w:ilvl w:val="0"/>
          <w:numId w:val="11"/>
        </w:numPr>
        <w:kinsoku/>
        <w:wordWrap/>
        <w:overflowPunct/>
        <w:topLinePunct w:val="0"/>
        <w:autoSpaceDE/>
        <w:autoSpaceDN/>
        <w:bidi w:val="0"/>
        <w:adjustRightInd/>
        <w:snapToGrid/>
        <w:spacing w:after="0" w:line="578"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宋体" w:eastAsia="仿宋_GB2312"/>
          <w:lang w:val="en-US" w:eastAsia="zh-CN"/>
        </w:rPr>
        <w:t>所有申请文件必须装入密封完好的信封或包装，申请</w:t>
      </w:r>
      <w:r>
        <w:rPr>
          <w:rFonts w:hint="eastAsia" w:ascii="仿宋_GB2312" w:hAnsi="仿宋_GB2312" w:eastAsia="仿宋_GB2312" w:cs="仿宋_GB2312"/>
          <w:sz w:val="32"/>
          <w:szCs w:val="32"/>
          <w:highlight w:val="none"/>
          <w:lang w:val="en-US" w:eastAsia="zh-CN"/>
        </w:rPr>
        <w:t>人应确保</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外包装材料不留有可在包封后添加或抽取文件的空隙。</w:t>
      </w:r>
    </w:p>
    <w:p w14:paraId="7516EC74">
      <w:pPr>
        <w:keepNext w:val="0"/>
        <w:keepLines w:val="0"/>
        <w:pageBreakBefore w:val="0"/>
        <w:widowControl w:val="0"/>
        <w:numPr>
          <w:ilvl w:val="0"/>
          <w:numId w:val="11"/>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仿宋_GB2312" w:hAnsi="宋体" w:eastAsia="仿宋_GB2312"/>
          <w:lang w:val="en-US" w:eastAsia="zh-CN"/>
        </w:rPr>
      </w:pPr>
      <w:r>
        <w:rPr>
          <w:rFonts w:hint="eastAsia" w:ascii="仿宋_GB2312" w:hAnsi="宋体" w:eastAsia="仿宋_GB2312"/>
          <w:lang w:val="en-US" w:eastAsia="zh-CN"/>
        </w:rPr>
        <w:t>申请文件包装封面要求</w:t>
      </w:r>
    </w:p>
    <w:p w14:paraId="656C17F7">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申请人应在文件包装上标明以下信息：</w:t>
      </w:r>
    </w:p>
    <w:tbl>
      <w:tblPr>
        <w:tblStyle w:val="10"/>
        <w:tblW w:w="0" w:type="auto"/>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79"/>
      </w:tblGrid>
      <w:tr w14:paraId="4DCAB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12" w:type="dxa"/>
            <w:tcBorders>
              <w:top w:val="single" w:color="auto" w:sz="4" w:space="0"/>
              <w:left w:val="single" w:color="auto" w:sz="4" w:space="0"/>
              <w:bottom w:val="single" w:color="auto" w:sz="4" w:space="0"/>
              <w:right w:val="single" w:color="auto" w:sz="4" w:space="0"/>
            </w:tcBorders>
            <w:noWrap w:val="0"/>
            <w:vAlign w:val="top"/>
          </w:tcPr>
          <w:p w14:paraId="773FF9C7">
            <w:pPr>
              <w:keepNext w:val="0"/>
              <w:keepLines w:val="0"/>
              <w:pageBreakBefore w:val="0"/>
              <w:widowControl w:val="0"/>
              <w:suppressLineNumbers w:val="0"/>
              <w:tabs>
                <w:tab w:val="left" w:pos="284"/>
              </w:tabs>
              <w:kinsoku/>
              <w:wordWrap/>
              <w:overflowPunct/>
              <w:topLinePunct w:val="0"/>
              <w:autoSpaceDE/>
              <w:autoSpaceDN/>
              <w:bidi w:val="0"/>
              <w:adjustRightInd w:val="0"/>
              <w:snapToGrid w:val="0"/>
              <w:spacing w:beforeAutospacing="0" w:after="0" w:afterAutospacing="0" w:line="578" w:lineRule="exact"/>
              <w:ind w:left="0" w:right="0" w:firstLine="48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 xml:space="preserve">项目名称： </w:t>
            </w:r>
            <w:r>
              <w:rPr>
                <w:rFonts w:hint="eastAsia" w:ascii="仿宋_GB2312" w:hAnsi="仿宋_GB2312" w:eastAsia="仿宋_GB2312" w:cs="仿宋_GB2312"/>
                <w:sz w:val="32"/>
                <w:szCs w:val="32"/>
                <w:highlight w:val="none"/>
                <w:u w:val="single"/>
              </w:rPr>
              <w:t>海南财金集团法律服务类中介机构备选库入库比选项目</w:t>
            </w:r>
          </w:p>
          <w:p w14:paraId="79198591">
            <w:pPr>
              <w:keepNext w:val="0"/>
              <w:keepLines w:val="0"/>
              <w:pageBreakBefore w:val="0"/>
              <w:widowControl w:val="0"/>
              <w:suppressLineNumbers w:val="0"/>
              <w:tabs>
                <w:tab w:val="left" w:pos="284"/>
              </w:tabs>
              <w:kinsoku/>
              <w:wordWrap/>
              <w:overflowPunct/>
              <w:topLinePunct w:val="0"/>
              <w:autoSpaceDE/>
              <w:autoSpaceDN/>
              <w:bidi w:val="0"/>
              <w:adjustRightInd w:val="0"/>
              <w:snapToGrid w:val="0"/>
              <w:spacing w:beforeAutospacing="0" w:after="0" w:afterAutospacing="0" w:line="578" w:lineRule="exact"/>
              <w:ind w:left="0" w:right="0" w:firstLine="48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申报类别</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14:paraId="6110487A">
            <w:pPr>
              <w:keepNext w:val="0"/>
              <w:keepLines w:val="0"/>
              <w:pageBreakBefore w:val="0"/>
              <w:widowControl w:val="0"/>
              <w:suppressLineNumbers w:val="0"/>
              <w:tabs>
                <w:tab w:val="left" w:pos="284"/>
              </w:tabs>
              <w:kinsoku/>
              <w:wordWrap/>
              <w:overflowPunct/>
              <w:topLinePunct w:val="0"/>
              <w:autoSpaceDE/>
              <w:autoSpaceDN/>
              <w:bidi w:val="0"/>
              <w:adjustRightInd w:val="0"/>
              <w:snapToGrid w:val="0"/>
              <w:spacing w:beforeAutospacing="0" w:after="0" w:afterAutospacing="0" w:line="578" w:lineRule="exact"/>
              <w:ind w:left="0" w:right="0" w:firstLine="48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w:t>
            </w:r>
            <w:r>
              <w:rPr>
                <w:rFonts w:hint="eastAsia" w:ascii="仿宋_GB2312" w:hAnsi="仿宋_GB2312" w:eastAsia="仿宋_GB2312" w:cs="仿宋_GB2312"/>
                <w:sz w:val="32"/>
                <w:szCs w:val="32"/>
                <w:highlight w:val="none"/>
              </w:rPr>
              <w:t>人名称：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14:paraId="14388FD9">
            <w:pPr>
              <w:keepNext w:val="0"/>
              <w:keepLines w:val="0"/>
              <w:pageBreakBefore w:val="0"/>
              <w:widowControl w:val="0"/>
              <w:suppressLineNumbers w:val="0"/>
              <w:tabs>
                <w:tab w:val="left" w:pos="284"/>
              </w:tabs>
              <w:kinsoku/>
              <w:wordWrap/>
              <w:overflowPunct/>
              <w:topLinePunct w:val="0"/>
              <w:autoSpaceDE/>
              <w:autoSpaceDN/>
              <w:bidi w:val="0"/>
              <w:adjustRightInd w:val="0"/>
              <w:snapToGrid w:val="0"/>
              <w:spacing w:beforeAutospacing="0" w:after="0" w:afterAutospacing="0" w:line="578" w:lineRule="exact"/>
              <w:ind w:left="0" w:right="0" w:firstLine="48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14:paraId="30E8D2C0">
            <w:pPr>
              <w:keepNext w:val="0"/>
              <w:keepLines w:val="0"/>
              <w:pageBreakBefore w:val="0"/>
              <w:widowControl w:val="0"/>
              <w:suppressLineNumbers w:val="0"/>
              <w:tabs>
                <w:tab w:val="left" w:pos="284"/>
              </w:tabs>
              <w:kinsoku/>
              <w:wordWrap/>
              <w:overflowPunct/>
              <w:topLinePunct w:val="0"/>
              <w:autoSpaceDE/>
              <w:autoSpaceDN/>
              <w:bidi w:val="0"/>
              <w:adjustRightInd w:val="0"/>
              <w:snapToGrid w:val="0"/>
              <w:spacing w:beforeAutospacing="0" w:after="0" w:afterAutospacing="0" w:line="578" w:lineRule="exact"/>
              <w:ind w:left="0" w:right="0" w:firstLine="482"/>
              <w:textAlignment w:val="auto"/>
              <w:rPr>
                <w:rFonts w:hint="default" w:ascii="宋体" w:hAnsi="宋体"/>
                <w:sz w:val="24"/>
                <w:highlight w:val="none"/>
              </w:rPr>
            </w:pPr>
            <w:r>
              <w:rPr>
                <w:rFonts w:hint="eastAsia" w:ascii="仿宋_GB2312" w:hAnsi="仿宋_GB2312" w:eastAsia="仿宋_GB2312" w:cs="仿宋_GB2312"/>
                <w:sz w:val="32"/>
                <w:szCs w:val="32"/>
                <w:highlight w:val="none"/>
              </w:rPr>
              <w:t xml:space="preserve">联系电话：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tc>
      </w:tr>
    </w:tbl>
    <w:p w14:paraId="146B50E2">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申请文件的补充、修改、说明与撤回</w:t>
      </w:r>
    </w:p>
    <w:p w14:paraId="334FE431">
      <w:pPr>
        <w:keepNext w:val="0"/>
        <w:keepLines w:val="0"/>
        <w:pageBreakBefore w:val="0"/>
        <w:widowControl w:val="0"/>
        <w:numPr>
          <w:ilvl w:val="0"/>
          <w:numId w:val="12"/>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申请人在递交申请文件以后，在规定的送达截止时间之前，应以书面形式递交补充、修改文件。补充、修改的内容为</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的组成部分。申请人对</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的补充、修改，应按前述规定进行密封和标志，并在</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密封袋上清楚标明“补充、修改”字样。</w:t>
      </w:r>
    </w:p>
    <w:p w14:paraId="665EBDCE">
      <w:pPr>
        <w:keepNext w:val="0"/>
        <w:keepLines w:val="0"/>
        <w:pageBreakBefore w:val="0"/>
        <w:widowControl w:val="0"/>
        <w:numPr>
          <w:ilvl w:val="0"/>
          <w:numId w:val="12"/>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评选小组认为</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中有含义不明确的内容、明显文字错误或其他需要申请人说明的事项，有权要求申请人作出必要澄清、说明。经申请人书面澄清、说明的，以澄清、说明后的内容为准。</w:t>
      </w:r>
    </w:p>
    <w:p w14:paraId="1EAEAA69">
      <w:pPr>
        <w:keepNext w:val="0"/>
        <w:keepLines w:val="0"/>
        <w:pageBreakBefore w:val="0"/>
        <w:widowControl w:val="0"/>
        <w:numPr>
          <w:ilvl w:val="0"/>
          <w:numId w:val="12"/>
        </w:numPr>
        <w:kinsoku/>
        <w:wordWrap/>
        <w:overflowPunct/>
        <w:topLinePunct w:val="0"/>
        <w:autoSpaceDE/>
        <w:autoSpaceDN/>
        <w:bidi w:val="0"/>
        <w:adjustRightInd/>
        <w:snapToGrid/>
        <w:spacing w:after="0" w:line="578"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sectPr>
          <w:headerReference r:id="rId11" w:type="default"/>
          <w:footerReference r:id="rId12"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highlight w:val="none"/>
          <w:lang w:val="en-US" w:eastAsia="zh-CN"/>
        </w:rPr>
        <w:t>申请人在递交</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以后，在规定的</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送达截止时间之前，可采用邮件等书面形式通知</w:t>
      </w:r>
      <w:r>
        <w:rPr>
          <w:rFonts w:hint="eastAsia" w:ascii="仿宋_GB2312" w:hAnsi="宋体" w:eastAsia="仿宋_GB2312"/>
          <w:lang w:eastAsia="zh-CN"/>
        </w:rPr>
        <w:t>海南财金集团</w:t>
      </w:r>
      <w:r>
        <w:rPr>
          <w:rFonts w:hint="eastAsia" w:ascii="仿宋_GB2312" w:hAnsi="仿宋_GB2312" w:eastAsia="仿宋_GB2312" w:cs="仿宋_GB2312"/>
          <w:sz w:val="32"/>
          <w:szCs w:val="32"/>
          <w:highlight w:val="none"/>
          <w:lang w:val="en-US" w:eastAsia="zh-CN"/>
        </w:rPr>
        <w:t>撤回已递交的</w:t>
      </w:r>
      <w:r>
        <w:rPr>
          <w:rFonts w:hint="eastAsia" w:ascii="仿宋_GB2312" w:hAnsi="宋体" w:eastAsia="仿宋_GB2312"/>
          <w:lang w:val="en-US" w:eastAsia="zh-CN"/>
        </w:rPr>
        <w:t>申请文件</w:t>
      </w:r>
      <w:r>
        <w:rPr>
          <w:rFonts w:hint="eastAsia" w:ascii="仿宋_GB2312" w:hAnsi="仿宋_GB2312" w:eastAsia="仿宋_GB2312" w:cs="仿宋_GB2312"/>
          <w:sz w:val="32"/>
          <w:szCs w:val="32"/>
          <w:highlight w:val="none"/>
          <w:lang w:val="en-US" w:eastAsia="zh-CN"/>
        </w:rPr>
        <w:t>。</w:t>
      </w:r>
    </w:p>
    <w:p w14:paraId="58FB1777">
      <w:pPr>
        <w:keepNext w:val="0"/>
        <w:keepLines w:val="0"/>
        <w:pageBreakBefore w:val="0"/>
        <w:widowControl w:val="0"/>
        <w:numPr>
          <w:ilvl w:val="0"/>
          <w:numId w:val="1"/>
        </w:numPr>
        <w:kinsoku/>
        <w:wordWrap/>
        <w:overflowPunct/>
        <w:topLinePunct w:val="0"/>
        <w:autoSpaceDE/>
        <w:autoSpaceDN/>
        <w:bidi w:val="0"/>
        <w:adjustRightInd/>
        <w:snapToGrid/>
        <w:spacing w:before="437" w:beforeLines="100" w:after="437" w:afterLines="100" w:line="578" w:lineRule="exact"/>
        <w:ind w:left="0" w:leftChars="0" w:firstLine="0" w:firstLineChars="0"/>
        <w:jc w:val="center"/>
        <w:textAlignment w:val="auto"/>
        <w:rPr>
          <w:rFonts w:hint="eastAsia" w:ascii="黑体" w:hAnsi="黑体" w:eastAsia="黑体" w:cs="黑体"/>
          <w:kern w:val="2"/>
          <w:sz w:val="36"/>
          <w:szCs w:val="36"/>
          <w:highlight w:val="none"/>
          <w:lang w:val="en-US" w:eastAsia="zh-CN"/>
        </w:rPr>
      </w:pPr>
      <w:r>
        <w:rPr>
          <w:rFonts w:hint="eastAsia" w:ascii="黑体" w:hAnsi="黑体" w:eastAsia="黑体" w:cs="黑体"/>
          <w:kern w:val="2"/>
          <w:sz w:val="36"/>
          <w:szCs w:val="36"/>
          <w:highlight w:val="none"/>
          <w:lang w:val="en-US" w:eastAsia="zh-CN"/>
        </w:rPr>
        <w:t>其他说明事项</w:t>
      </w:r>
    </w:p>
    <w:p w14:paraId="294206C1">
      <w:pPr>
        <w:pStyle w:val="3"/>
        <w:numPr>
          <w:ilvl w:val="0"/>
          <w:numId w:val="9"/>
        </w:numPr>
        <w:ind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申请无效情形</w:t>
      </w:r>
    </w:p>
    <w:p w14:paraId="5068DF69">
      <w:pPr>
        <w:pageBreakBefore w:val="0"/>
        <w:widowControl w:val="0"/>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val="en-US" w:eastAsia="zh-CN"/>
        </w:rPr>
        <w:t>以下情形</w:t>
      </w:r>
      <w:r>
        <w:rPr>
          <w:rFonts w:ascii="仿宋_GB2312" w:hAnsi="宋体" w:eastAsia="仿宋_GB2312"/>
          <w:lang w:eastAsia="zh-CN"/>
        </w:rPr>
        <w:t>将导致</w:t>
      </w:r>
      <w:r>
        <w:rPr>
          <w:rFonts w:hint="eastAsia" w:ascii="仿宋_GB2312" w:hAnsi="宋体" w:eastAsia="仿宋_GB2312"/>
          <w:lang w:eastAsia="zh-CN"/>
        </w:rPr>
        <w:t>申请</w:t>
      </w:r>
      <w:r>
        <w:rPr>
          <w:rFonts w:ascii="仿宋_GB2312" w:hAnsi="宋体" w:eastAsia="仿宋_GB2312"/>
          <w:lang w:eastAsia="zh-CN"/>
        </w:rPr>
        <w:t>无效</w:t>
      </w:r>
      <w:r>
        <w:rPr>
          <w:rFonts w:hint="eastAsia" w:ascii="仿宋_GB2312" w:hAnsi="宋体" w:eastAsia="仿宋_GB2312"/>
          <w:lang w:eastAsia="zh-CN"/>
        </w:rPr>
        <w:t>：</w:t>
      </w:r>
    </w:p>
    <w:p w14:paraId="6D5726B1">
      <w:pPr>
        <w:pageBreakBefore w:val="0"/>
        <w:widowControl w:val="0"/>
        <w:numPr>
          <w:ilvl w:val="0"/>
          <w:numId w:val="13"/>
        </w:numPr>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申请人</w:t>
      </w:r>
      <w:r>
        <w:rPr>
          <w:rFonts w:ascii="仿宋_GB2312" w:hAnsi="宋体" w:eastAsia="仿宋_GB2312"/>
          <w:lang w:eastAsia="zh-CN"/>
        </w:rPr>
        <w:t>弄虚作假</w:t>
      </w:r>
      <w:r>
        <w:rPr>
          <w:rFonts w:hint="eastAsia" w:ascii="仿宋_GB2312" w:hAnsi="宋体" w:eastAsia="仿宋_GB2312"/>
          <w:lang w:eastAsia="zh-CN"/>
        </w:rPr>
        <w:t>，故意伪造、隐瞒、遗漏重大信息，或</w:t>
      </w:r>
      <w:r>
        <w:rPr>
          <w:rFonts w:ascii="仿宋_GB2312" w:hAnsi="宋体" w:eastAsia="仿宋_GB2312"/>
          <w:lang w:eastAsia="zh-CN"/>
        </w:rPr>
        <w:t>未实质性回应公告</w:t>
      </w:r>
      <w:r>
        <w:rPr>
          <w:rFonts w:hint="eastAsia" w:ascii="仿宋_GB2312" w:hAnsi="宋体" w:eastAsia="仿宋_GB2312"/>
          <w:lang w:eastAsia="zh-CN"/>
        </w:rPr>
        <w:t>内容</w:t>
      </w:r>
      <w:r>
        <w:rPr>
          <w:rFonts w:ascii="仿宋_GB2312" w:hAnsi="宋体" w:eastAsia="仿宋_GB2312"/>
          <w:lang w:eastAsia="zh-CN"/>
        </w:rPr>
        <w:t>、故意混淆重要事实；</w:t>
      </w:r>
    </w:p>
    <w:p w14:paraId="50D33EF9">
      <w:pPr>
        <w:pageBreakBefore w:val="0"/>
        <w:widowControl w:val="0"/>
        <w:numPr>
          <w:ilvl w:val="0"/>
          <w:numId w:val="13"/>
        </w:numPr>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申请人</w:t>
      </w:r>
      <w:r>
        <w:rPr>
          <w:rFonts w:ascii="仿宋_GB2312" w:hAnsi="宋体" w:eastAsia="仿宋_GB2312"/>
          <w:lang w:eastAsia="zh-CN"/>
        </w:rPr>
        <w:t>未通过资格性检查</w:t>
      </w:r>
      <w:r>
        <w:rPr>
          <w:rFonts w:hint="eastAsia" w:ascii="仿宋_GB2312" w:hAnsi="宋体" w:eastAsia="仿宋_GB2312"/>
          <w:lang w:eastAsia="zh-CN"/>
        </w:rPr>
        <w:t>，</w:t>
      </w:r>
      <w:r>
        <w:rPr>
          <w:rFonts w:hint="eastAsia" w:ascii="仿宋_GB2312" w:hAnsi="宋体" w:eastAsia="仿宋_GB2312"/>
          <w:lang w:val="en-US" w:eastAsia="zh-CN"/>
        </w:rPr>
        <w:t>即不符合“</w:t>
      </w:r>
      <w:r>
        <w:rPr>
          <w:rFonts w:hint="eastAsia" w:ascii="仿宋_GB2312" w:hAnsi="宋体" w:eastAsia="仿宋_GB2312"/>
          <w:b w:val="0"/>
          <w:bCs w:val="0"/>
          <w:highlight w:val="none"/>
          <w:lang w:val="en-US" w:eastAsia="zh-CN"/>
        </w:rPr>
        <w:t>入库资质要求”</w:t>
      </w:r>
      <w:r>
        <w:rPr>
          <w:rFonts w:ascii="仿宋_GB2312" w:hAnsi="宋体" w:eastAsia="仿宋_GB2312"/>
          <w:lang w:eastAsia="zh-CN"/>
        </w:rPr>
        <w:t>；</w:t>
      </w:r>
    </w:p>
    <w:p w14:paraId="74DD0676">
      <w:pPr>
        <w:pageBreakBefore w:val="0"/>
        <w:widowControl w:val="0"/>
        <w:numPr>
          <w:ilvl w:val="0"/>
          <w:numId w:val="13"/>
        </w:numPr>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申请文件</w:t>
      </w:r>
      <w:r>
        <w:rPr>
          <w:rFonts w:ascii="仿宋_GB2312" w:hAnsi="宋体" w:eastAsia="仿宋_GB2312"/>
          <w:lang w:eastAsia="zh-CN"/>
        </w:rPr>
        <w:t>与</w:t>
      </w:r>
      <w:r>
        <w:rPr>
          <w:rFonts w:hint="eastAsia" w:ascii="仿宋_GB2312" w:hAnsi="宋体" w:eastAsia="仿宋_GB2312"/>
          <w:lang w:eastAsia="zh-CN"/>
        </w:rPr>
        <w:t>入库公告中</w:t>
      </w:r>
      <w:r>
        <w:rPr>
          <w:rFonts w:ascii="仿宋_GB2312" w:hAnsi="宋体" w:eastAsia="仿宋_GB2312"/>
          <w:lang w:eastAsia="zh-CN"/>
        </w:rPr>
        <w:t>实质性要求严重背离；</w:t>
      </w:r>
    </w:p>
    <w:p w14:paraId="47CB3B4F">
      <w:pPr>
        <w:pageBreakBefore w:val="0"/>
        <w:widowControl w:val="0"/>
        <w:numPr>
          <w:ilvl w:val="0"/>
          <w:numId w:val="13"/>
        </w:numPr>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申请文件</w:t>
      </w:r>
      <w:r>
        <w:rPr>
          <w:rFonts w:ascii="仿宋_GB2312" w:hAnsi="宋体" w:eastAsia="仿宋_GB2312"/>
          <w:lang w:eastAsia="zh-CN"/>
        </w:rPr>
        <w:t>含有违反国家法律、法规的内容或附有</w:t>
      </w:r>
      <w:r>
        <w:rPr>
          <w:rFonts w:hint="eastAsia" w:ascii="仿宋_GB2312" w:hAnsi="宋体" w:eastAsia="仿宋_GB2312"/>
          <w:lang w:eastAsia="zh-CN"/>
        </w:rPr>
        <w:t>海南财金集团</w:t>
      </w:r>
      <w:r>
        <w:rPr>
          <w:rFonts w:ascii="仿宋_GB2312" w:hAnsi="宋体" w:eastAsia="仿宋_GB2312"/>
          <w:lang w:eastAsia="zh-CN"/>
        </w:rPr>
        <w:t>不能接受的条件</w:t>
      </w:r>
      <w:r>
        <w:rPr>
          <w:rFonts w:hint="eastAsia" w:ascii="仿宋_GB2312" w:hAnsi="宋体" w:eastAsia="仿宋_GB2312"/>
          <w:lang w:eastAsia="zh-CN"/>
        </w:rPr>
        <w:t>；</w:t>
      </w:r>
    </w:p>
    <w:p w14:paraId="03BACCEA">
      <w:pPr>
        <w:pageBreakBefore w:val="0"/>
        <w:widowControl w:val="0"/>
        <w:numPr>
          <w:ilvl w:val="0"/>
          <w:numId w:val="13"/>
        </w:numPr>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申请人</w:t>
      </w:r>
      <w:r>
        <w:rPr>
          <w:rFonts w:hint="eastAsia" w:ascii="仿宋_GB2312" w:hAnsi="宋体" w:eastAsia="仿宋_GB2312"/>
          <w:lang w:val="en-US" w:eastAsia="zh-CN"/>
        </w:rPr>
        <w:t>存在</w:t>
      </w:r>
      <w:r>
        <w:rPr>
          <w:rFonts w:hint="eastAsia" w:ascii="仿宋_GB2312" w:hAnsi="宋体" w:eastAsia="仿宋_GB2312"/>
          <w:lang w:eastAsia="zh-CN"/>
        </w:rPr>
        <w:t>任何</w:t>
      </w:r>
      <w:r>
        <w:rPr>
          <w:rFonts w:ascii="仿宋_GB2312" w:hAnsi="宋体" w:eastAsia="仿宋_GB2312"/>
          <w:lang w:eastAsia="zh-CN"/>
        </w:rPr>
        <w:t>影响</w:t>
      </w:r>
      <w:r>
        <w:rPr>
          <w:rFonts w:hint="eastAsia" w:ascii="仿宋_GB2312" w:hAnsi="宋体" w:eastAsia="仿宋_GB2312"/>
          <w:lang w:eastAsia="zh-CN"/>
        </w:rPr>
        <w:t>评审</w:t>
      </w:r>
      <w:r>
        <w:rPr>
          <w:rFonts w:ascii="仿宋_GB2312" w:hAnsi="宋体" w:eastAsia="仿宋_GB2312"/>
          <w:lang w:eastAsia="zh-CN"/>
        </w:rPr>
        <w:t>公正的</w:t>
      </w:r>
      <w:r>
        <w:rPr>
          <w:rFonts w:hint="eastAsia" w:ascii="仿宋_GB2312" w:hAnsi="宋体" w:eastAsia="仿宋_GB2312"/>
          <w:lang w:val="en-US" w:eastAsia="zh-CN"/>
        </w:rPr>
        <w:t>不合规</w:t>
      </w:r>
      <w:r>
        <w:rPr>
          <w:rFonts w:ascii="仿宋_GB2312" w:hAnsi="宋体" w:eastAsia="仿宋_GB2312"/>
          <w:lang w:eastAsia="zh-CN"/>
        </w:rPr>
        <w:t>行为</w:t>
      </w:r>
      <w:r>
        <w:rPr>
          <w:rFonts w:hint="eastAsia" w:ascii="仿宋_GB2312" w:hAnsi="宋体" w:eastAsia="仿宋_GB2312"/>
          <w:lang w:eastAsia="zh-CN"/>
        </w:rPr>
        <w:t>。</w:t>
      </w:r>
    </w:p>
    <w:p w14:paraId="09D2A21C">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反商业贿赂及</w:t>
      </w:r>
      <w:r>
        <w:rPr>
          <w:rFonts w:hint="eastAsia" w:ascii="黑体" w:hAnsi="黑体" w:eastAsia="黑体" w:cs="黑体"/>
          <w:b w:val="0"/>
          <w:bCs w:val="0"/>
          <w:sz w:val="32"/>
          <w:szCs w:val="32"/>
          <w:lang w:val="en-US"/>
        </w:rPr>
        <w:t>保密事项</w:t>
      </w:r>
    </w:p>
    <w:p w14:paraId="7BA445E1">
      <w:pPr>
        <w:pageBreakBefore w:val="0"/>
        <w:widowControl w:val="0"/>
        <w:numPr>
          <w:ilvl w:val="0"/>
          <w:numId w:val="14"/>
        </w:numPr>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申请人不得向海南财金集团相关人员询问评分情况，不得进行可能影响评审结果的活动，如试图向海南财金集团相关人员施加任何影响的，都将会导致其申请被拒绝。</w:t>
      </w:r>
    </w:p>
    <w:p w14:paraId="04DB6AFB">
      <w:pPr>
        <w:pageBreakBefore w:val="0"/>
        <w:widowControl w:val="0"/>
        <w:numPr>
          <w:ilvl w:val="0"/>
          <w:numId w:val="14"/>
        </w:numPr>
        <w:tabs>
          <w:tab w:val="left" w:pos="142"/>
        </w:tabs>
        <w:kinsoku/>
        <w:overflowPunct/>
        <w:topLinePunct w:val="0"/>
        <w:autoSpaceDE/>
        <w:autoSpaceDN/>
        <w:bidi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申请人应当对海南财金集团的商业信息严格保密，不得向任何第三人透露。</w:t>
      </w:r>
    </w:p>
    <w:p w14:paraId="31E7F747">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ascii="黑体" w:hAnsi="黑体" w:eastAsia="黑体" w:cs="黑体"/>
          <w:b w:val="0"/>
          <w:bCs w:val="0"/>
          <w:sz w:val="32"/>
          <w:szCs w:val="32"/>
          <w:lang w:val="en-US"/>
        </w:rPr>
      </w:pPr>
      <w:r>
        <w:rPr>
          <w:rFonts w:hint="eastAsia" w:ascii="黑体" w:hAnsi="黑体" w:eastAsia="黑体" w:cs="黑体"/>
          <w:b w:val="0"/>
          <w:bCs w:val="0"/>
          <w:sz w:val="32"/>
          <w:szCs w:val="32"/>
          <w:lang w:val="en-US"/>
        </w:rPr>
        <w:t>咨询、答疑时间安排</w:t>
      </w:r>
    </w:p>
    <w:p w14:paraId="76D82A94">
      <w:pPr>
        <w:pageBreakBefore w:val="0"/>
        <w:widowControl w:val="0"/>
        <w:kinsoku/>
        <w:overflowPunct/>
        <w:topLinePunct w:val="0"/>
        <w:autoSpaceDE/>
        <w:autoSpaceDN/>
        <w:bidi w:val="0"/>
        <w:adjustRightInd w:val="0"/>
        <w:snapToGrid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申请人如对入库公告有任何疑问需咨询、解答，</w:t>
      </w:r>
      <w:r>
        <w:rPr>
          <w:rFonts w:hint="eastAsia" w:ascii="仿宋_GB2312" w:hAnsi="宋体" w:eastAsia="仿宋_GB2312"/>
          <w:highlight w:val="none"/>
          <w:lang w:eastAsia="zh-CN"/>
        </w:rPr>
        <w:t>请在本公告发布之日起至</w:t>
      </w:r>
      <w:r>
        <w:rPr>
          <w:rFonts w:hint="eastAsia" w:ascii="仿宋_GB2312" w:hAnsi="宋体" w:eastAsia="仿宋_GB2312"/>
          <w:highlight w:val="none"/>
          <w:lang w:val="en-US" w:eastAsia="zh-CN"/>
        </w:rPr>
        <w:t>2025年8</w:t>
      </w:r>
      <w:r>
        <w:rPr>
          <w:rFonts w:hint="eastAsia" w:ascii="仿宋_GB2312" w:hAnsi="宋体" w:eastAsia="仿宋_GB2312"/>
          <w:highlight w:val="none"/>
          <w:lang w:eastAsia="zh-CN"/>
        </w:rPr>
        <w:t>月</w:t>
      </w:r>
      <w:r>
        <w:rPr>
          <w:rFonts w:hint="eastAsia" w:ascii="仿宋_GB2312" w:hAnsi="宋体" w:eastAsia="仿宋_GB2312"/>
          <w:highlight w:val="none"/>
          <w:lang w:val="en-US" w:eastAsia="zh-CN"/>
        </w:rPr>
        <w:t>13</w:t>
      </w:r>
      <w:r>
        <w:rPr>
          <w:rFonts w:hint="eastAsia" w:ascii="仿宋_GB2312" w:hAnsi="宋体" w:eastAsia="仿宋_GB2312"/>
          <w:highlight w:val="none"/>
          <w:lang w:eastAsia="zh-CN"/>
        </w:rPr>
        <w:t>日，工作日8</w:t>
      </w:r>
      <w:r>
        <w:rPr>
          <w:rFonts w:hint="eastAsia" w:ascii="仿宋_GB2312" w:hAnsi="宋体" w:eastAsia="仿宋_GB2312"/>
          <w:highlight w:val="none"/>
          <w:lang w:val="en-US" w:eastAsia="zh-CN"/>
        </w:rPr>
        <w:t>:</w:t>
      </w:r>
      <w:r>
        <w:rPr>
          <w:rFonts w:hint="eastAsia" w:ascii="仿宋_GB2312" w:hAnsi="宋体" w:eastAsia="仿宋_GB2312"/>
          <w:highlight w:val="none"/>
          <w:lang w:eastAsia="zh-CN"/>
        </w:rPr>
        <w:t>30-12</w:t>
      </w:r>
      <w:r>
        <w:rPr>
          <w:rFonts w:hint="eastAsia" w:ascii="仿宋_GB2312" w:hAnsi="宋体" w:eastAsia="仿宋_GB2312"/>
          <w:highlight w:val="none"/>
          <w:lang w:val="en-US" w:eastAsia="zh-CN"/>
        </w:rPr>
        <w:t>:</w:t>
      </w:r>
      <w:r>
        <w:rPr>
          <w:rFonts w:hint="eastAsia" w:ascii="仿宋_GB2312" w:hAnsi="宋体" w:eastAsia="仿宋_GB2312"/>
          <w:highlight w:val="none"/>
          <w:lang w:eastAsia="zh-CN"/>
        </w:rPr>
        <w:t>00及14</w:t>
      </w:r>
      <w:r>
        <w:rPr>
          <w:rFonts w:hint="eastAsia" w:ascii="仿宋_GB2312" w:hAnsi="宋体" w:eastAsia="仿宋_GB2312"/>
          <w:highlight w:val="none"/>
          <w:lang w:val="en-US" w:eastAsia="zh-CN"/>
        </w:rPr>
        <w:t>:</w:t>
      </w:r>
      <w:r>
        <w:rPr>
          <w:rFonts w:hint="eastAsia" w:ascii="仿宋_GB2312" w:hAnsi="宋体" w:eastAsia="仿宋_GB2312"/>
          <w:highlight w:val="none"/>
          <w:lang w:eastAsia="zh-CN"/>
        </w:rPr>
        <w:t>30-18</w:t>
      </w:r>
      <w:r>
        <w:rPr>
          <w:rFonts w:hint="eastAsia" w:ascii="仿宋_GB2312" w:hAnsi="宋体" w:eastAsia="仿宋_GB2312"/>
          <w:highlight w:val="none"/>
          <w:lang w:val="en-US" w:eastAsia="zh-CN"/>
        </w:rPr>
        <w:t>:</w:t>
      </w:r>
      <w:r>
        <w:rPr>
          <w:rFonts w:hint="eastAsia" w:ascii="仿宋_GB2312" w:hAnsi="宋体" w:eastAsia="仿宋_GB2312"/>
          <w:highlight w:val="none"/>
          <w:lang w:eastAsia="zh-CN"/>
        </w:rPr>
        <w:t>00时</w:t>
      </w:r>
      <w:r>
        <w:rPr>
          <w:rFonts w:hint="eastAsia" w:ascii="仿宋_GB2312" w:hAnsi="宋体" w:eastAsia="仿宋_GB2312"/>
          <w:lang w:eastAsia="zh-CN"/>
        </w:rPr>
        <w:t>期间联系。</w:t>
      </w:r>
    </w:p>
    <w:p w14:paraId="1947B7B8">
      <w:pPr>
        <w:pageBreakBefore w:val="0"/>
        <w:widowControl w:val="0"/>
        <w:kinsoku/>
        <w:overflowPunct/>
        <w:topLinePunct w:val="0"/>
        <w:autoSpaceDE/>
        <w:autoSpaceDN/>
        <w:bidi w:val="0"/>
        <w:adjustRightInd w:val="0"/>
        <w:snapToGrid w:val="0"/>
        <w:spacing w:after="0" w:line="578" w:lineRule="exact"/>
        <w:ind w:firstLine="640"/>
        <w:jc w:val="both"/>
        <w:textAlignment w:val="auto"/>
        <w:rPr>
          <w:rFonts w:ascii="仿宋_GB2312" w:hAnsi="宋体" w:eastAsia="仿宋_GB2312"/>
          <w:lang w:eastAsia="zh-CN"/>
        </w:rPr>
      </w:pPr>
      <w:r>
        <w:rPr>
          <w:rFonts w:hint="eastAsia" w:ascii="仿宋_GB2312" w:hAnsi="宋体" w:eastAsia="仿宋_GB2312"/>
          <w:lang w:eastAsia="zh-CN"/>
        </w:rPr>
        <w:t>联系人：陈</w:t>
      </w:r>
      <w:r>
        <w:rPr>
          <w:rFonts w:hint="eastAsia" w:ascii="仿宋_GB2312" w:hAnsi="宋体" w:eastAsia="仿宋_GB2312"/>
          <w:lang w:val="en-US" w:eastAsia="zh-CN"/>
        </w:rPr>
        <w:t>女士</w:t>
      </w:r>
    </w:p>
    <w:p w14:paraId="7F237488">
      <w:pPr>
        <w:pageBreakBefore w:val="0"/>
        <w:widowControl w:val="0"/>
        <w:kinsoku/>
        <w:overflowPunct/>
        <w:topLinePunct w:val="0"/>
        <w:autoSpaceDE/>
        <w:autoSpaceDN/>
        <w:bidi w:val="0"/>
        <w:adjustRightInd w:val="0"/>
        <w:snapToGrid w:val="0"/>
        <w:spacing w:after="0" w:line="578" w:lineRule="exact"/>
        <w:ind w:firstLine="640"/>
        <w:jc w:val="both"/>
        <w:textAlignment w:val="auto"/>
        <w:rPr>
          <w:rFonts w:hint="default" w:ascii="仿宋_GB2312" w:hAnsi="宋体" w:eastAsia="仿宋_GB2312"/>
          <w:lang w:val="en-US" w:eastAsia="zh-CN"/>
        </w:rPr>
      </w:pPr>
      <w:r>
        <w:rPr>
          <w:rFonts w:hint="eastAsia" w:ascii="仿宋_GB2312" w:hAnsi="宋体" w:eastAsia="仿宋_GB2312"/>
          <w:lang w:eastAsia="zh-CN"/>
        </w:rPr>
        <w:t>联系电话：</w:t>
      </w:r>
      <w:r>
        <w:rPr>
          <w:rFonts w:hint="eastAsia" w:ascii="仿宋_GB2312" w:hAnsi="仿宋_GB2312" w:eastAsia="仿宋_GB2312" w:cs="仿宋_GB2312"/>
          <w:sz w:val="32"/>
          <w:szCs w:val="32"/>
          <w:highlight w:val="none"/>
          <w:lang w:val="en-US" w:eastAsia="zh-CN"/>
        </w:rPr>
        <w:t>0898-68662095</w:t>
      </w:r>
    </w:p>
    <w:p w14:paraId="505F2E22">
      <w:pPr>
        <w:pStyle w:val="3"/>
        <w:pageBreakBefore w:val="0"/>
        <w:numPr>
          <w:ilvl w:val="0"/>
          <w:numId w:val="9"/>
        </w:numPr>
        <w:kinsoku/>
        <w:overflowPunct/>
        <w:topLinePunct w:val="0"/>
        <w:autoSpaceDE/>
        <w:autoSpaceDN/>
        <w:bidi w:val="0"/>
        <w:spacing w:after="0" w:line="578" w:lineRule="exact"/>
        <w:ind w:firstLine="640" w:firstLineChars="200"/>
        <w:jc w:val="left"/>
        <w:textAlignment w:val="auto"/>
        <w:rPr>
          <w:rFonts w:ascii="黑体" w:hAnsi="黑体" w:eastAsia="黑体" w:cs="黑体"/>
          <w:b w:val="0"/>
          <w:bCs w:val="0"/>
          <w:sz w:val="32"/>
          <w:szCs w:val="32"/>
          <w:lang w:val="en-US"/>
        </w:rPr>
      </w:pPr>
      <w:r>
        <w:rPr>
          <w:rFonts w:hint="eastAsia" w:ascii="黑体" w:hAnsi="黑体" w:eastAsia="黑体" w:cs="黑体"/>
          <w:b w:val="0"/>
          <w:bCs w:val="0"/>
          <w:sz w:val="32"/>
          <w:szCs w:val="32"/>
          <w:lang w:val="en-US"/>
        </w:rPr>
        <w:t>其他说明</w:t>
      </w:r>
    </w:p>
    <w:p w14:paraId="5308BE34">
      <w:pPr>
        <w:pageBreakBefore w:val="0"/>
        <w:widowControl w:val="0"/>
        <w:numPr>
          <w:ilvl w:val="0"/>
          <w:numId w:val="15"/>
        </w:numPr>
        <w:tabs>
          <w:tab w:val="left" w:pos="142"/>
        </w:tabs>
        <w:kinsoku/>
        <w:overflowPunct/>
        <w:topLinePunct w:val="0"/>
        <w:autoSpaceDE/>
        <w:autoSpaceDN/>
        <w:bidi w:val="0"/>
        <w:spacing w:after="0" w:line="578" w:lineRule="exact"/>
        <w:ind w:firstLine="640"/>
        <w:jc w:val="both"/>
        <w:textAlignment w:val="auto"/>
        <w:rPr>
          <w:rFonts w:ascii="楷体" w:hAnsi="楷体" w:eastAsia="楷体" w:cs="楷体"/>
          <w:lang w:eastAsia="zh-CN"/>
        </w:rPr>
      </w:pPr>
      <w:r>
        <w:rPr>
          <w:rFonts w:hint="eastAsia" w:ascii="仿宋_GB2312" w:hAnsi="宋体" w:eastAsia="仿宋_GB2312"/>
          <w:lang w:eastAsia="zh-CN"/>
        </w:rPr>
        <w:t>海南财金集团将对中介机构备选库进行动态管理，后续将根据内部管理办法的规定进行增补或剔除。</w:t>
      </w:r>
    </w:p>
    <w:p w14:paraId="0EEBEB19">
      <w:pPr>
        <w:pageBreakBefore w:val="0"/>
        <w:widowControl w:val="0"/>
        <w:numPr>
          <w:ilvl w:val="0"/>
          <w:numId w:val="15"/>
        </w:numPr>
        <w:tabs>
          <w:tab w:val="left" w:pos="142"/>
        </w:tabs>
        <w:kinsoku/>
        <w:overflowPunct/>
        <w:topLinePunct w:val="0"/>
        <w:autoSpaceDE/>
        <w:autoSpaceDN/>
        <w:bidi w:val="0"/>
        <w:spacing w:after="0" w:line="578" w:lineRule="exact"/>
        <w:ind w:firstLine="640"/>
        <w:jc w:val="both"/>
        <w:textAlignment w:val="auto"/>
        <w:rPr>
          <w:rFonts w:ascii="楷体" w:hAnsi="楷体" w:eastAsia="楷体" w:cs="楷体"/>
          <w:lang w:eastAsia="zh-CN"/>
        </w:rPr>
      </w:pPr>
      <w:r>
        <w:rPr>
          <w:rFonts w:hint="eastAsia" w:ascii="仿宋_GB2312" w:hAnsi="仿宋_GB2312" w:eastAsia="仿宋_GB2312" w:cs="仿宋_GB2312"/>
          <w:lang w:eastAsia="zh-CN"/>
        </w:rPr>
        <w:t>入库属于资格准入，申请人入库后不意味着必然中选具体项目。针对具体项目，海南财金集团将按照内部规章制度的要求，在备选库内进行选聘</w:t>
      </w:r>
      <w:r>
        <w:rPr>
          <w:rFonts w:hint="eastAsia" w:ascii="仿宋_GB2312" w:hAnsi="仿宋_GB2312" w:eastAsia="仿宋_GB2312" w:cs="仿宋_GB2312"/>
          <w:highlight w:val="none"/>
          <w:lang w:eastAsia="zh-CN"/>
        </w:rPr>
        <w:t>（</w:t>
      </w:r>
      <w:r>
        <w:rPr>
          <w:rFonts w:hint="eastAsia" w:ascii="仿宋_GB2312" w:hAnsi="宋体" w:eastAsia="仿宋_GB2312"/>
          <w:lang w:eastAsia="zh-CN"/>
        </w:rPr>
        <w:t>海南财金集团</w:t>
      </w:r>
      <w:r>
        <w:rPr>
          <w:rFonts w:hint="eastAsia" w:ascii="仿宋_GB2312" w:hAnsi="仿宋_GB2312" w:eastAsia="仿宋_GB2312" w:cs="仿宋_GB2312"/>
          <w:highlight w:val="none"/>
          <w:lang w:val="en-US" w:eastAsia="zh-CN"/>
        </w:rPr>
        <w:t>规章制度另有规定的除外</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lang w:eastAsia="zh-CN"/>
        </w:rPr>
        <w:t>，并签订具体服务合同。</w:t>
      </w:r>
    </w:p>
    <w:p w14:paraId="783E1AFC">
      <w:pPr>
        <w:pageBreakBefore w:val="0"/>
        <w:widowControl w:val="0"/>
        <w:numPr>
          <w:ilvl w:val="0"/>
          <w:numId w:val="15"/>
        </w:numPr>
        <w:tabs>
          <w:tab w:val="left" w:pos="142"/>
        </w:tabs>
        <w:kinsoku/>
        <w:overflowPunct/>
        <w:topLinePunct w:val="0"/>
        <w:autoSpaceDE/>
        <w:autoSpaceDN/>
        <w:bidi w:val="0"/>
        <w:spacing w:after="0" w:line="578" w:lineRule="exact"/>
        <w:ind w:firstLine="640"/>
        <w:jc w:val="both"/>
        <w:textAlignment w:val="auto"/>
        <w:rPr>
          <w:rFonts w:hint="eastAsia" w:ascii="楷体" w:hAnsi="楷体" w:eastAsia="楷体" w:cs="楷体"/>
          <w:lang w:eastAsia="zh-CN"/>
        </w:rPr>
      </w:pPr>
      <w:r>
        <w:rPr>
          <w:rFonts w:hint="eastAsia" w:ascii="仿宋_GB2312" w:hAnsi="宋体" w:eastAsia="仿宋_GB2312"/>
          <w:lang w:eastAsia="zh-CN"/>
        </w:rPr>
        <w:t>海南财金集团</w:t>
      </w:r>
      <w:r>
        <w:rPr>
          <w:rFonts w:hint="eastAsia" w:ascii="仿宋_GB2312" w:hAnsi="仿宋_GB2312" w:eastAsia="仿宋_GB2312" w:cs="仿宋_GB2312"/>
          <w:lang w:val="en-US" w:eastAsia="zh-CN"/>
        </w:rPr>
        <w:t>将在</w:t>
      </w:r>
      <w:r>
        <w:rPr>
          <w:rFonts w:hint="eastAsia" w:ascii="仿宋_GB2312" w:hAnsi="仿宋_GB2312" w:eastAsia="仿宋_GB2312" w:cs="仿宋_GB2312"/>
          <w:lang w:eastAsia="zh-CN"/>
        </w:rPr>
        <w:t>入库申请</w:t>
      </w:r>
      <w:r>
        <w:rPr>
          <w:rFonts w:hint="eastAsia" w:ascii="仿宋_GB2312" w:hAnsi="仿宋_GB2312" w:eastAsia="仿宋_GB2312" w:cs="仿宋_GB2312"/>
          <w:lang w:val="en-US" w:eastAsia="zh-CN"/>
        </w:rPr>
        <w:t>材料</w:t>
      </w:r>
      <w:r>
        <w:rPr>
          <w:rFonts w:hint="eastAsia" w:ascii="仿宋_GB2312" w:hAnsi="仿宋_GB2312" w:eastAsia="仿宋_GB2312" w:cs="仿宋_GB2312"/>
          <w:lang w:eastAsia="zh-CN"/>
        </w:rPr>
        <w:t>递交截止日后进行评审，评审结束后</w:t>
      </w:r>
      <w:r>
        <w:rPr>
          <w:rFonts w:hint="eastAsia" w:ascii="仿宋_GB2312" w:hAnsi="仿宋_GB2312" w:eastAsia="仿宋_GB2312" w:cs="仿宋_GB2312"/>
          <w:lang w:val="en-US" w:eastAsia="zh-CN"/>
        </w:rPr>
        <w:t>向入库机构、团队</w:t>
      </w:r>
      <w:r>
        <w:rPr>
          <w:rFonts w:hint="eastAsia" w:ascii="仿宋_GB2312" w:hAnsi="仿宋_GB2312" w:eastAsia="仿宋_GB2312" w:cs="仿宋_GB2312"/>
          <w:lang w:eastAsia="zh-CN"/>
        </w:rPr>
        <w:t>发送</w:t>
      </w:r>
      <w:r>
        <w:rPr>
          <w:rFonts w:hint="eastAsia" w:ascii="仿宋_GB2312" w:hAnsi="仿宋_GB2312" w:eastAsia="仿宋_GB2312" w:cs="仿宋_GB2312"/>
          <w:lang w:val="en-US" w:eastAsia="zh-CN"/>
        </w:rPr>
        <w:t>入库通知书</w:t>
      </w:r>
      <w:r>
        <w:rPr>
          <w:rFonts w:hint="eastAsia" w:ascii="仿宋_GB2312" w:hAnsi="仿宋_GB2312" w:eastAsia="仿宋_GB2312" w:cs="仿宋_GB2312"/>
          <w:lang w:eastAsia="zh-CN"/>
        </w:rPr>
        <w:t>，未入库的机构、</w:t>
      </w:r>
      <w:r>
        <w:rPr>
          <w:rFonts w:hint="eastAsia" w:ascii="仿宋_GB2312" w:hAnsi="仿宋_GB2312" w:eastAsia="仿宋_GB2312" w:cs="仿宋_GB2312"/>
          <w:lang w:val="en-US" w:eastAsia="zh-CN"/>
        </w:rPr>
        <w:t>团队</w:t>
      </w:r>
      <w:r>
        <w:rPr>
          <w:rFonts w:hint="eastAsia" w:ascii="仿宋_GB2312" w:hAnsi="仿宋_GB2312" w:eastAsia="仿宋_GB2312" w:cs="仿宋_GB2312"/>
          <w:lang w:eastAsia="zh-CN"/>
        </w:rPr>
        <w:t>不发送相关通知。</w:t>
      </w:r>
    </w:p>
    <w:p w14:paraId="484D5EF8">
      <w:pPr>
        <w:pageBreakBefore w:val="0"/>
        <w:kinsoku/>
        <w:overflowPunct/>
        <w:topLinePunct w:val="0"/>
        <w:autoSpaceDE/>
        <w:autoSpaceDN/>
        <w:bidi w:val="0"/>
        <w:spacing w:after="0" w:line="578" w:lineRule="exact"/>
        <w:ind w:firstLine="640"/>
        <w:textAlignment w:val="auto"/>
        <w:rPr>
          <w:lang w:eastAsia="zh-CN"/>
        </w:rPr>
      </w:pPr>
    </w:p>
    <w:p w14:paraId="5241EF19">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default" w:ascii="仿宋_GB2312" w:hAnsi="宋体" w:eastAsia="仿宋_GB2312"/>
          <w:lang w:val="en-US" w:eastAsia="zh-CN"/>
        </w:rPr>
      </w:pPr>
      <w:r>
        <w:rPr>
          <w:rFonts w:hint="eastAsia" w:ascii="仿宋_GB2312" w:hAnsi="宋体" w:eastAsia="仿宋_GB2312"/>
          <w:lang w:eastAsia="zh-CN"/>
        </w:rPr>
        <w:t>附件：1.申请文件模板</w:t>
      </w:r>
    </w:p>
    <w:p w14:paraId="45BB77C3">
      <w:pPr>
        <w:pageBreakBefore w:val="0"/>
        <w:widowControl w:val="0"/>
        <w:tabs>
          <w:tab w:val="left" w:pos="142"/>
        </w:tabs>
        <w:kinsoku/>
        <w:overflowPunct/>
        <w:topLinePunct w:val="0"/>
        <w:autoSpaceDE/>
        <w:autoSpaceDN/>
        <w:bidi w:val="0"/>
        <w:spacing w:after="0" w:line="578" w:lineRule="exact"/>
        <w:ind w:firstLine="1600" w:firstLineChars="50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2.诚信声明</w:t>
      </w:r>
    </w:p>
    <w:p w14:paraId="43864894">
      <w:pPr>
        <w:pageBreakBefore w:val="0"/>
        <w:widowControl w:val="0"/>
        <w:tabs>
          <w:tab w:val="left" w:pos="142"/>
        </w:tabs>
        <w:kinsoku/>
        <w:overflowPunct/>
        <w:topLinePunct w:val="0"/>
        <w:autoSpaceDE/>
        <w:autoSpaceDN/>
        <w:bidi w:val="0"/>
        <w:spacing w:after="0" w:line="578" w:lineRule="exact"/>
        <w:ind w:firstLine="1600" w:firstLineChars="50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3.团队成员名单</w:t>
      </w:r>
    </w:p>
    <w:p w14:paraId="678328E7">
      <w:pPr>
        <w:widowControl w:val="0"/>
        <w:tabs>
          <w:tab w:val="left" w:pos="142"/>
        </w:tabs>
        <w:spacing w:line="578" w:lineRule="exact"/>
        <w:ind w:firstLine="1600" w:firstLineChars="500"/>
        <w:jc w:val="both"/>
        <w:rPr>
          <w:rFonts w:hint="eastAsia" w:ascii="仿宋_GB2312" w:hAnsi="宋体" w:eastAsia="仿宋_GB2312"/>
          <w:lang w:val="en-US" w:eastAsia="zh-CN"/>
        </w:rPr>
      </w:pPr>
      <w:r>
        <w:rPr>
          <w:rFonts w:hint="eastAsia" w:ascii="仿宋_GB2312" w:hAnsi="宋体" w:eastAsia="仿宋_GB2312"/>
          <w:lang w:val="en-US" w:eastAsia="zh-CN"/>
        </w:rPr>
        <w:t>4.</w:t>
      </w:r>
      <w:r>
        <w:rPr>
          <w:rFonts w:hint="eastAsia" w:ascii="仿宋_GB2312" w:hAnsi="宋体" w:eastAsia="仿宋_GB2312" w:cs="仿宋"/>
          <w:b w:val="0"/>
          <w:bCs w:val="0"/>
          <w:sz w:val="32"/>
          <w:szCs w:val="32"/>
          <w:highlight w:val="none"/>
          <w:vertAlign w:val="baseline"/>
          <w:lang w:val="en-US" w:eastAsia="zh-CN" w:bidi="ar-SA"/>
        </w:rPr>
        <w:t>海南财金集团主要业务简介</w:t>
      </w:r>
    </w:p>
    <w:p w14:paraId="653FDCD3">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val="en-US" w:eastAsia="zh-CN"/>
        </w:rPr>
      </w:pPr>
    </w:p>
    <w:p w14:paraId="64838CE3">
      <w:pPr>
        <w:pageBreakBefore w:val="0"/>
        <w:widowControl w:val="0"/>
        <w:tabs>
          <w:tab w:val="left" w:pos="142"/>
        </w:tabs>
        <w:kinsoku/>
        <w:overflowPunct/>
        <w:topLinePunct w:val="0"/>
        <w:autoSpaceDE/>
        <w:autoSpaceDN/>
        <w:bidi w:val="0"/>
        <w:spacing w:after="0" w:line="578" w:lineRule="exact"/>
        <w:ind w:firstLine="640"/>
        <w:jc w:val="both"/>
        <w:textAlignment w:val="auto"/>
        <w:rPr>
          <w:rFonts w:hint="eastAsia" w:ascii="仿宋_GB2312" w:hAnsi="宋体" w:eastAsia="仿宋_GB2312"/>
          <w:lang w:val="en-US" w:eastAsia="zh-CN"/>
        </w:rPr>
      </w:pPr>
    </w:p>
    <w:p w14:paraId="0D158885">
      <w:pPr>
        <w:pageBreakBefore w:val="0"/>
        <w:widowControl w:val="0"/>
        <w:kinsoku/>
        <w:overflowPunct/>
        <w:topLinePunct w:val="0"/>
        <w:autoSpaceDE/>
        <w:autoSpaceDN/>
        <w:bidi w:val="0"/>
        <w:adjustRightInd w:val="0"/>
        <w:snapToGrid w:val="0"/>
        <w:spacing w:after="0" w:line="578" w:lineRule="exact"/>
        <w:ind w:firstLine="640"/>
        <w:jc w:val="right"/>
        <w:textAlignment w:val="auto"/>
        <w:rPr>
          <w:rFonts w:ascii="仿宋_GB2312" w:hAnsi="宋体" w:eastAsia="仿宋_GB2312"/>
          <w:lang w:eastAsia="zh-CN"/>
        </w:rPr>
      </w:pPr>
      <w:r>
        <w:rPr>
          <w:rFonts w:hint="eastAsia" w:ascii="仿宋_GB2312" w:hAnsi="宋体" w:eastAsia="仿宋_GB2312"/>
          <w:lang w:eastAsia="zh-CN"/>
        </w:rPr>
        <w:t>海南省财金集团有限公司</w:t>
      </w:r>
    </w:p>
    <w:p w14:paraId="57DFE7C1">
      <w:pPr>
        <w:pageBreakBefore w:val="0"/>
        <w:widowControl w:val="0"/>
        <w:kinsoku/>
        <w:wordWrap w:val="0"/>
        <w:overflowPunct/>
        <w:topLinePunct w:val="0"/>
        <w:autoSpaceDE/>
        <w:autoSpaceDN/>
        <w:bidi w:val="0"/>
        <w:adjustRightInd w:val="0"/>
        <w:snapToGrid w:val="0"/>
        <w:spacing w:after="0" w:line="578" w:lineRule="exact"/>
        <w:ind w:firstLine="640"/>
        <w:jc w:val="right"/>
        <w:textAlignment w:val="auto"/>
        <w:rPr>
          <w:rFonts w:hint="eastAsia" w:ascii="仿宋_GB2312" w:hAnsi="宋体" w:eastAsia="仿宋_GB2312"/>
          <w:highlight w:val="none"/>
          <w:lang w:eastAsia="zh-CN"/>
        </w:rPr>
        <w:sectPr>
          <w:pgSz w:w="11906" w:h="16838"/>
          <w:pgMar w:top="1440" w:right="1800" w:bottom="1440" w:left="1800" w:header="851" w:footer="992" w:gutter="0"/>
          <w:pgNumType w:fmt="numberInDash"/>
          <w:cols w:space="425" w:num="1"/>
          <w:docGrid w:type="lines" w:linePitch="312" w:charSpace="0"/>
        </w:sectPr>
      </w:pPr>
      <w:bookmarkStart w:id="1" w:name="_GoBack"/>
      <w:bookmarkEnd w:id="1"/>
      <w:r>
        <w:rPr>
          <w:rFonts w:hint="eastAsia" w:ascii="仿宋_GB2312" w:hAnsi="宋体" w:eastAsia="仿宋_GB2312"/>
          <w:highlight w:val="none"/>
          <w:lang w:eastAsia="zh-CN"/>
        </w:rPr>
        <w:t>202</w:t>
      </w:r>
      <w:r>
        <w:rPr>
          <w:rFonts w:hint="eastAsia" w:ascii="仿宋_GB2312" w:hAnsi="宋体" w:eastAsia="仿宋_GB2312"/>
          <w:highlight w:val="none"/>
          <w:lang w:val="en-US" w:eastAsia="zh-CN"/>
        </w:rPr>
        <w:t>5</w:t>
      </w:r>
      <w:r>
        <w:rPr>
          <w:rFonts w:hint="eastAsia" w:ascii="仿宋_GB2312" w:hAnsi="宋体" w:eastAsia="仿宋_GB2312"/>
          <w:highlight w:val="none"/>
          <w:lang w:eastAsia="zh-CN"/>
        </w:rPr>
        <w:t>年</w:t>
      </w:r>
      <w:r>
        <w:rPr>
          <w:rFonts w:hint="eastAsia" w:ascii="仿宋_GB2312" w:hAnsi="宋体" w:eastAsia="仿宋_GB2312"/>
          <w:highlight w:val="none"/>
          <w:lang w:val="en-US" w:eastAsia="zh-CN"/>
        </w:rPr>
        <w:t>7</w:t>
      </w:r>
      <w:r>
        <w:rPr>
          <w:rFonts w:hint="eastAsia" w:ascii="仿宋_GB2312" w:hAnsi="宋体" w:eastAsia="仿宋_GB2312"/>
          <w:highlight w:val="none"/>
          <w:lang w:eastAsia="zh-CN"/>
        </w:rPr>
        <w:t>月</w:t>
      </w:r>
      <w:r>
        <w:rPr>
          <w:rFonts w:hint="eastAsia" w:ascii="仿宋_GB2312" w:hAnsi="宋体" w:eastAsia="仿宋_GB2312"/>
          <w:highlight w:val="none"/>
          <w:lang w:val="en-US" w:eastAsia="zh-CN"/>
        </w:rPr>
        <w:t>29</w:t>
      </w:r>
      <w:r>
        <w:rPr>
          <w:rFonts w:hint="eastAsia" w:ascii="仿宋_GB2312" w:hAnsi="宋体" w:eastAsia="仿宋_GB2312"/>
          <w:highlight w:val="none"/>
          <w:lang w:eastAsia="zh-CN"/>
        </w:rPr>
        <w:t>日</w:t>
      </w:r>
    </w:p>
    <w:p w14:paraId="665A62CA">
      <w:pPr>
        <w:ind w:left="0" w:leftChars="0" w:firstLine="0" w:firstLineChars="0"/>
        <w:rPr>
          <w:rFonts w:hint="eastAsia"/>
          <w:lang w:val="en-US" w:eastAsia="zh-CN"/>
        </w:rPr>
      </w:pPr>
      <w:r>
        <w:rPr>
          <w:rFonts w:hint="eastAsia"/>
          <w:lang w:val="en-US" w:eastAsia="zh-CN"/>
        </w:rPr>
        <w:t>附件1：申请文件模板</w:t>
      </w:r>
    </w:p>
    <w:p w14:paraId="55778504">
      <w:pPr>
        <w:pStyle w:val="4"/>
        <w:pageBreakBefore w:val="0"/>
        <w:kinsoku/>
        <w:overflowPunct/>
        <w:topLinePunct w:val="0"/>
        <w:autoSpaceDE/>
        <w:autoSpaceDN/>
        <w:bidi w:val="0"/>
        <w:spacing w:before="0" w:after="0" w:line="578" w:lineRule="exact"/>
        <w:ind w:firstLine="482"/>
        <w:textAlignment w:val="auto"/>
        <w:rPr>
          <w:lang w:val="en-US"/>
        </w:rPr>
      </w:pPr>
    </w:p>
    <w:p w14:paraId="0441533D">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申请人基本情况表</w:t>
      </w:r>
    </w:p>
    <w:p w14:paraId="40DDAFB5">
      <w:pPr>
        <w:pageBreakBefore w:val="0"/>
        <w:widowControl w:val="0"/>
        <w:kinsoku/>
        <w:overflowPunct/>
        <w:topLinePunct w:val="0"/>
        <w:autoSpaceDE/>
        <w:autoSpaceDN/>
        <w:bidi w:val="0"/>
        <w:adjustRightInd w:val="0"/>
        <w:snapToGrid w:val="0"/>
        <w:spacing w:after="0" w:line="578" w:lineRule="exact"/>
        <w:ind w:firstLine="640"/>
        <w:textAlignment w:val="auto"/>
        <w:rPr>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946"/>
        <w:gridCol w:w="2134"/>
        <w:gridCol w:w="1315"/>
        <w:gridCol w:w="2639"/>
      </w:tblGrid>
      <w:tr w14:paraId="4A71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vAlign w:val="center"/>
          </w:tcPr>
          <w:p w14:paraId="50AA50BD">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机构名称</w:t>
            </w:r>
          </w:p>
        </w:tc>
        <w:tc>
          <w:tcPr>
            <w:tcW w:w="7034" w:type="dxa"/>
            <w:gridSpan w:val="4"/>
            <w:vAlign w:val="center"/>
          </w:tcPr>
          <w:p w14:paraId="14F93019">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r w14:paraId="68D3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vAlign w:val="center"/>
          </w:tcPr>
          <w:p w14:paraId="11EFE4EA">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单位负责人</w:t>
            </w:r>
          </w:p>
        </w:tc>
        <w:tc>
          <w:tcPr>
            <w:tcW w:w="3080" w:type="dxa"/>
            <w:gridSpan w:val="2"/>
            <w:vAlign w:val="center"/>
          </w:tcPr>
          <w:p w14:paraId="1161F763">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c>
          <w:tcPr>
            <w:tcW w:w="1315" w:type="dxa"/>
            <w:vAlign w:val="center"/>
          </w:tcPr>
          <w:p w14:paraId="72442AFF">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成立日期</w:t>
            </w:r>
          </w:p>
        </w:tc>
        <w:tc>
          <w:tcPr>
            <w:tcW w:w="2639" w:type="dxa"/>
            <w:vAlign w:val="center"/>
          </w:tcPr>
          <w:p w14:paraId="07965318">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r w14:paraId="39EE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vMerge w:val="restart"/>
            <w:vAlign w:val="center"/>
          </w:tcPr>
          <w:p w14:paraId="2DF06212">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入库团队</w:t>
            </w:r>
          </w:p>
          <w:p w14:paraId="6EF951A6">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负责人</w:t>
            </w:r>
          </w:p>
        </w:tc>
        <w:tc>
          <w:tcPr>
            <w:tcW w:w="946" w:type="dxa"/>
            <w:vAlign w:val="center"/>
          </w:tcPr>
          <w:p w14:paraId="7CDEAE32">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eastAsia="zh-CN"/>
              </w:rPr>
              <w:t>姓名</w:t>
            </w:r>
          </w:p>
        </w:tc>
        <w:tc>
          <w:tcPr>
            <w:tcW w:w="2134" w:type="dxa"/>
            <w:vAlign w:val="center"/>
          </w:tcPr>
          <w:p w14:paraId="1E21CC4A">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val="en-US" w:eastAsia="zh-CN" w:bidi="ar-SA"/>
              </w:rPr>
            </w:pPr>
          </w:p>
        </w:tc>
        <w:tc>
          <w:tcPr>
            <w:tcW w:w="1315" w:type="dxa"/>
            <w:vAlign w:val="center"/>
          </w:tcPr>
          <w:p w14:paraId="45159F0B">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hint="default"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手机号码</w:t>
            </w:r>
          </w:p>
        </w:tc>
        <w:tc>
          <w:tcPr>
            <w:tcW w:w="2639" w:type="dxa"/>
            <w:vAlign w:val="center"/>
          </w:tcPr>
          <w:p w14:paraId="23DFF0FD">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r w14:paraId="5A91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vMerge w:val="continue"/>
            <w:vAlign w:val="center"/>
          </w:tcPr>
          <w:p w14:paraId="6A99EED5">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hint="eastAsia" w:ascii="仿宋_GB2312" w:hAnsi="仿宋_GB2312" w:eastAsia="仿宋_GB2312" w:cs="仿宋_GB2312"/>
                <w:sz w:val="24"/>
                <w:szCs w:val="24"/>
                <w:lang w:eastAsia="zh-CN"/>
              </w:rPr>
            </w:pPr>
          </w:p>
        </w:tc>
        <w:tc>
          <w:tcPr>
            <w:tcW w:w="946" w:type="dxa"/>
            <w:vAlign w:val="center"/>
          </w:tcPr>
          <w:p w14:paraId="67B56015">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tc>
        <w:tc>
          <w:tcPr>
            <w:tcW w:w="6088" w:type="dxa"/>
            <w:gridSpan w:val="3"/>
            <w:vAlign w:val="center"/>
          </w:tcPr>
          <w:p w14:paraId="6FEEBD43">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r w14:paraId="0FA2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vMerge w:val="restart"/>
            <w:vAlign w:val="center"/>
          </w:tcPr>
          <w:p w14:paraId="08265FEE">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团队</w:t>
            </w:r>
          </w:p>
          <w:p w14:paraId="2DFB0FF1">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tc>
        <w:tc>
          <w:tcPr>
            <w:tcW w:w="946" w:type="dxa"/>
            <w:vAlign w:val="center"/>
          </w:tcPr>
          <w:p w14:paraId="0F123AEF">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联系人</w:t>
            </w:r>
          </w:p>
        </w:tc>
        <w:tc>
          <w:tcPr>
            <w:tcW w:w="2134" w:type="dxa"/>
            <w:vAlign w:val="center"/>
          </w:tcPr>
          <w:p w14:paraId="439528BD">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c>
          <w:tcPr>
            <w:tcW w:w="1315" w:type="dxa"/>
            <w:vAlign w:val="center"/>
          </w:tcPr>
          <w:p w14:paraId="277472D7">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bidi="ar-SA"/>
              </w:rPr>
              <w:t>手机号码</w:t>
            </w:r>
          </w:p>
        </w:tc>
        <w:tc>
          <w:tcPr>
            <w:tcW w:w="2639" w:type="dxa"/>
            <w:vAlign w:val="center"/>
          </w:tcPr>
          <w:p w14:paraId="657E34E1">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r w14:paraId="2CA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8" w:type="dxa"/>
            <w:vMerge w:val="continue"/>
            <w:vAlign w:val="center"/>
          </w:tcPr>
          <w:p w14:paraId="20722590">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c>
          <w:tcPr>
            <w:tcW w:w="946" w:type="dxa"/>
            <w:vAlign w:val="center"/>
          </w:tcPr>
          <w:p w14:paraId="7CB8F18F">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tc>
        <w:tc>
          <w:tcPr>
            <w:tcW w:w="6088" w:type="dxa"/>
            <w:gridSpan w:val="3"/>
            <w:vAlign w:val="center"/>
          </w:tcPr>
          <w:p w14:paraId="04EFE7E0">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r w14:paraId="1BA6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88" w:type="dxa"/>
            <w:vAlign w:val="center"/>
          </w:tcPr>
          <w:p w14:paraId="6AF0431A">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申报类别</w:t>
            </w:r>
          </w:p>
        </w:tc>
        <w:tc>
          <w:tcPr>
            <w:tcW w:w="7034" w:type="dxa"/>
            <w:gridSpan w:val="4"/>
            <w:vAlign w:val="center"/>
          </w:tcPr>
          <w:p w14:paraId="72DC53B1">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r w14:paraId="7FA3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488" w:type="dxa"/>
            <w:vAlign w:val="center"/>
          </w:tcPr>
          <w:p w14:paraId="3E83D7C5">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w:t>
            </w:r>
          </w:p>
        </w:tc>
        <w:tc>
          <w:tcPr>
            <w:tcW w:w="7034" w:type="dxa"/>
            <w:gridSpan w:val="4"/>
            <w:vAlign w:val="center"/>
          </w:tcPr>
          <w:p w14:paraId="34E907B6">
            <w:pPr>
              <w:pageBreakBefore w:val="0"/>
              <w:widowControl w:val="0"/>
              <w:kinsoku/>
              <w:overflowPunct/>
              <w:topLinePunct w:val="0"/>
              <w:autoSpaceDE/>
              <w:autoSpaceDN/>
              <w:bidi w:val="0"/>
              <w:adjustRightInd w:val="0"/>
              <w:snapToGrid w:val="0"/>
              <w:spacing w:after="0" w:line="240" w:lineRule="auto"/>
              <w:ind w:firstLine="0" w:firstLineChars="0"/>
              <w:jc w:val="center"/>
              <w:textAlignment w:val="auto"/>
              <w:rPr>
                <w:rFonts w:ascii="仿宋_GB2312" w:hAnsi="仿宋_GB2312" w:eastAsia="仿宋_GB2312" w:cs="仿宋_GB2312"/>
                <w:sz w:val="24"/>
                <w:szCs w:val="24"/>
                <w:lang w:eastAsia="zh-CN"/>
              </w:rPr>
            </w:pPr>
          </w:p>
        </w:tc>
      </w:tr>
    </w:tbl>
    <w:p w14:paraId="1F95782B">
      <w:pPr>
        <w:pStyle w:val="2"/>
        <w:rPr>
          <w:rFonts w:hint="default"/>
          <w:lang w:val="en-US" w:eastAsia="zh-CN"/>
        </w:rPr>
        <w:sectPr>
          <w:pgSz w:w="11906" w:h="16838"/>
          <w:pgMar w:top="1440" w:right="1800" w:bottom="1440" w:left="1800" w:header="851" w:footer="992" w:gutter="0"/>
          <w:pgNumType w:fmt="numberInDash"/>
          <w:cols w:space="425" w:num="1"/>
          <w:docGrid w:type="lines" w:linePitch="312" w:charSpace="0"/>
        </w:sectPr>
      </w:pPr>
    </w:p>
    <w:p w14:paraId="7BD25E6C">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8"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目录</w:t>
      </w:r>
    </w:p>
    <w:p w14:paraId="05E8919A">
      <w:pPr>
        <w:pStyle w:val="2"/>
        <w:numPr>
          <w:ilvl w:val="0"/>
          <w:numId w:val="16"/>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律所简介················X页</w:t>
      </w:r>
    </w:p>
    <w:p w14:paraId="4C2EE56E">
      <w:pPr>
        <w:pStyle w:val="2"/>
        <w:numPr>
          <w:ilvl w:val="0"/>
          <w:numId w:val="0"/>
        </w:numPr>
        <w:rPr>
          <w:rFonts w:hint="default" w:ascii="黑体" w:hAnsi="黑体" w:eastAsia="黑体" w:cs="黑体"/>
          <w:sz w:val="32"/>
          <w:szCs w:val="32"/>
          <w:lang w:val="en-US" w:eastAsia="zh-CN"/>
        </w:rPr>
      </w:pPr>
      <w:r>
        <w:rPr>
          <w:rFonts w:hint="eastAsia" w:ascii="仿宋_GB2312" w:hAnsi="宋体" w:eastAsia="仿宋_GB2312" w:cs="仿宋"/>
          <w:b w:val="0"/>
          <w:bCs w:val="0"/>
          <w:sz w:val="32"/>
          <w:szCs w:val="32"/>
          <w:highlight w:val="none"/>
          <w:vertAlign w:val="baseline"/>
          <w:lang w:val="en-US" w:eastAsia="zh-CN" w:bidi="ar-SA"/>
        </w:rPr>
        <w:t>申请人应简要介绍机构情况，不超过3页纸。</w:t>
      </w:r>
    </w:p>
    <w:p w14:paraId="585AABC7">
      <w:pPr>
        <w:pStyle w:val="2"/>
        <w:numPr>
          <w:ilvl w:val="0"/>
          <w:numId w:val="16"/>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资格审查信息··············X页</w:t>
      </w:r>
    </w:p>
    <w:p w14:paraId="00B62A75">
      <w:pPr>
        <w:pStyle w:val="2"/>
        <w:numPr>
          <w:ilvl w:val="0"/>
          <w:numId w:val="0"/>
        </w:numPr>
        <w:rPr>
          <w:rFonts w:hint="default" w:ascii="黑体" w:hAnsi="黑体" w:eastAsia="黑体" w:cs="黑体"/>
          <w:sz w:val="32"/>
          <w:szCs w:val="32"/>
          <w:lang w:val="en-US" w:eastAsia="zh-CN"/>
        </w:rPr>
      </w:pPr>
      <w:r>
        <w:rPr>
          <w:rFonts w:hint="eastAsia" w:ascii="仿宋_GB2312" w:hAnsi="宋体" w:eastAsia="仿宋_GB2312" w:cs="仿宋"/>
          <w:b w:val="0"/>
          <w:bCs w:val="0"/>
          <w:sz w:val="32"/>
          <w:szCs w:val="32"/>
          <w:highlight w:val="none"/>
          <w:vertAlign w:val="baseline"/>
          <w:lang w:val="en-US" w:eastAsia="zh-CN" w:bidi="ar-SA"/>
        </w:rPr>
        <w:t>申请人应按照第二章第一条“入库资质要求”的规定，按顺序提供相应证明材料。</w:t>
      </w:r>
    </w:p>
    <w:p w14:paraId="18CC40A4">
      <w:pPr>
        <w:pStyle w:val="2"/>
        <w:numPr>
          <w:ilvl w:val="0"/>
          <w:numId w:val="16"/>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评审信息················X页</w:t>
      </w:r>
    </w:p>
    <w:p w14:paraId="752EF6D9">
      <w:pPr>
        <w:pStyle w:val="2"/>
        <w:numPr>
          <w:ilvl w:val="0"/>
          <w:numId w:val="0"/>
        </w:numPr>
        <w:rPr>
          <w:rFonts w:hint="default"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cs="仿宋"/>
          <w:b w:val="0"/>
          <w:bCs w:val="0"/>
          <w:sz w:val="32"/>
          <w:szCs w:val="32"/>
          <w:highlight w:val="none"/>
          <w:vertAlign w:val="baseline"/>
          <w:lang w:val="en-US" w:eastAsia="zh-CN" w:bidi="ar-SA"/>
        </w:rPr>
        <w:t>申请人应按照第二章第二条“入库评分标准”的规定，按顺序提供相应证明材料。</w:t>
      </w:r>
    </w:p>
    <w:p w14:paraId="48086AF7">
      <w:pPr>
        <w:keepNext w:val="0"/>
        <w:keepLines w:val="0"/>
        <w:pageBreakBefore w:val="0"/>
        <w:widowControl w:val="0"/>
        <w:numPr>
          <w:ilvl w:val="0"/>
          <w:numId w:val="17"/>
        </w:numPr>
        <w:tabs>
          <w:tab w:val="left" w:pos="142"/>
        </w:tabs>
        <w:kinsoku/>
        <w:wordWrap/>
        <w:overflowPunct/>
        <w:topLinePunct w:val="0"/>
        <w:autoSpaceDE/>
        <w:autoSpaceDN/>
        <w:bidi w:val="0"/>
        <w:adjustRightInd/>
        <w:snapToGrid/>
        <w:spacing w:after="0" w:line="578" w:lineRule="exact"/>
        <w:ind w:left="0" w:leftChars="0" w:firstLine="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服务团队</w:t>
      </w:r>
    </w:p>
    <w:p w14:paraId="1B458000">
      <w:pPr>
        <w:keepNext w:val="0"/>
        <w:keepLines w:val="0"/>
        <w:pageBreakBefore w:val="0"/>
        <w:widowControl w:val="0"/>
        <w:numPr>
          <w:ilvl w:val="0"/>
          <w:numId w:val="17"/>
        </w:numPr>
        <w:tabs>
          <w:tab w:val="left" w:pos="142"/>
        </w:tabs>
        <w:kinsoku/>
        <w:wordWrap/>
        <w:overflowPunct/>
        <w:topLinePunct w:val="0"/>
        <w:autoSpaceDE/>
        <w:autoSpaceDN/>
        <w:bidi w:val="0"/>
        <w:adjustRightInd/>
        <w:snapToGrid/>
        <w:spacing w:after="0" w:line="578"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业绩证明（申请人应</w:t>
      </w:r>
      <w:r>
        <w:rPr>
          <w:rFonts w:hint="eastAsia" w:ascii="仿宋_GB2312" w:hAnsi="宋体" w:eastAsia="仿宋_GB2312" w:cs="仿宋"/>
          <w:b w:val="0"/>
          <w:bCs w:val="0"/>
          <w:sz w:val="32"/>
          <w:szCs w:val="32"/>
          <w:highlight w:val="none"/>
          <w:vertAlign w:val="baseline"/>
          <w:lang w:val="en-US" w:eastAsia="zh-CN" w:bidi="ar-SA"/>
        </w:rPr>
        <w:t>根据申报类别分别填写如下所示清单并提供业绩证明材料）</w:t>
      </w:r>
    </w:p>
    <w:p w14:paraId="0CE51091">
      <w:pPr>
        <w:keepNext w:val="0"/>
        <w:keepLines w:val="0"/>
        <w:pageBreakBefore w:val="0"/>
        <w:widowControl w:val="0"/>
        <w:tabs>
          <w:tab w:val="left" w:pos="142"/>
        </w:tabs>
        <w:kinsoku/>
        <w:wordWrap/>
        <w:overflowPunct/>
        <w:topLinePunct w:val="0"/>
        <w:autoSpaceDE/>
        <w:autoSpaceDN/>
        <w:bidi w:val="0"/>
        <w:adjustRightInd/>
        <w:snapToGrid/>
        <w:spacing w:after="0" w:line="578" w:lineRule="exact"/>
        <w:ind w:firstLine="0" w:firstLineChars="0"/>
        <w:jc w:val="both"/>
        <w:textAlignment w:val="auto"/>
        <w:rPr>
          <w:rFonts w:hint="eastAsia"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cs="仿宋"/>
          <w:b w:val="0"/>
          <w:bCs w:val="0"/>
          <w:sz w:val="32"/>
          <w:szCs w:val="32"/>
          <w:highlight w:val="none"/>
          <w:vertAlign w:val="baseline"/>
          <w:lang w:val="en-US" w:eastAsia="zh-CN" w:bidi="ar-SA"/>
        </w:rPr>
        <w:t>1.XX类业绩证明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93"/>
        <w:gridCol w:w="1752"/>
        <w:gridCol w:w="494"/>
        <w:gridCol w:w="1222"/>
        <w:gridCol w:w="796"/>
        <w:gridCol w:w="1235"/>
        <w:gridCol w:w="494"/>
        <w:gridCol w:w="494"/>
        <w:gridCol w:w="846"/>
      </w:tblGrid>
      <w:tr w14:paraId="5157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30014F">
            <w:pPr>
              <w:pStyle w:val="2"/>
              <w:widowControl w:val="0"/>
              <w:jc w:val="both"/>
              <w:rPr>
                <w:rFonts w:hint="eastAsia"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序号</w:t>
            </w:r>
          </w:p>
        </w:tc>
        <w:tc>
          <w:tcPr>
            <w:tcW w:w="0" w:type="auto"/>
          </w:tcPr>
          <w:p w14:paraId="0C574097">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服务对象</w:t>
            </w:r>
          </w:p>
        </w:tc>
        <w:tc>
          <w:tcPr>
            <w:tcW w:w="0" w:type="auto"/>
          </w:tcPr>
          <w:p w14:paraId="73EA160C">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服务对象类型</w:t>
            </w:r>
          </w:p>
        </w:tc>
        <w:tc>
          <w:tcPr>
            <w:tcW w:w="0" w:type="auto"/>
          </w:tcPr>
          <w:p w14:paraId="14B7B6CF">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服务内容</w:t>
            </w:r>
          </w:p>
        </w:tc>
        <w:tc>
          <w:tcPr>
            <w:tcW w:w="0" w:type="auto"/>
            <w:vAlign w:val="top"/>
          </w:tcPr>
          <w:p w14:paraId="7BD48656">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服务内容类型</w:t>
            </w:r>
          </w:p>
        </w:tc>
        <w:tc>
          <w:tcPr>
            <w:tcW w:w="0" w:type="auto"/>
          </w:tcPr>
          <w:p w14:paraId="09FA77BE">
            <w:pPr>
              <w:pStyle w:val="2"/>
              <w:widowControl w:val="0"/>
              <w:jc w:val="both"/>
              <w:rPr>
                <w:rFonts w:hint="eastAsia"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服务期限</w:t>
            </w:r>
          </w:p>
        </w:tc>
        <w:tc>
          <w:tcPr>
            <w:tcW w:w="0" w:type="auto"/>
          </w:tcPr>
          <w:p w14:paraId="20D36A48">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参与团队成员姓名及所承担职责</w:t>
            </w:r>
          </w:p>
        </w:tc>
        <w:tc>
          <w:tcPr>
            <w:tcW w:w="0" w:type="auto"/>
          </w:tcPr>
          <w:p w14:paraId="07F21970">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业绩亮点</w:t>
            </w:r>
          </w:p>
        </w:tc>
        <w:tc>
          <w:tcPr>
            <w:tcW w:w="0" w:type="auto"/>
          </w:tcPr>
          <w:p w14:paraId="5E382A6F">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对应页码</w:t>
            </w:r>
          </w:p>
        </w:tc>
        <w:tc>
          <w:tcPr>
            <w:tcW w:w="0" w:type="auto"/>
          </w:tcPr>
          <w:p w14:paraId="678BF292">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备注</w:t>
            </w:r>
          </w:p>
        </w:tc>
      </w:tr>
      <w:tr w14:paraId="4C26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6E6F04">
            <w:pPr>
              <w:pStyle w:val="2"/>
              <w:widowControl w:val="0"/>
              <w:jc w:val="both"/>
              <w:rPr>
                <w:rFonts w:hint="eastAsia"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1.</w:t>
            </w:r>
          </w:p>
        </w:tc>
        <w:tc>
          <w:tcPr>
            <w:tcW w:w="0" w:type="auto"/>
          </w:tcPr>
          <w:p w14:paraId="49911647">
            <w:pPr>
              <w:pStyle w:val="2"/>
              <w:widowControl w:val="0"/>
              <w:jc w:val="both"/>
              <w:rPr>
                <w:rFonts w:hint="default" w:ascii="仿宋_GB2312" w:hAnsi="宋体" w:eastAsia="仿宋_GB2312" w:cs="仿宋"/>
                <w:sz w:val="24"/>
                <w:szCs w:val="24"/>
                <w:highlight w:val="none"/>
                <w:vertAlign w:val="baseline"/>
                <w:lang w:val="en-US" w:eastAsia="zh-CN" w:bidi="ar-SA"/>
              </w:rPr>
            </w:pPr>
          </w:p>
        </w:tc>
        <w:tc>
          <w:tcPr>
            <w:tcW w:w="0" w:type="auto"/>
          </w:tcPr>
          <w:p w14:paraId="270A637A">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注：对照“业绩证明评分内容”说明服务对象的具体类型，如“</w:t>
            </w:r>
            <w:r>
              <w:rPr>
                <w:rFonts w:hint="eastAsia" w:ascii="仿宋_GB2312" w:hAnsi="仿宋_GB2312" w:eastAsia="仿宋_GB2312" w:cs="仿宋_GB2312"/>
                <w:b w:val="0"/>
                <w:bCs/>
                <w:color w:val="auto"/>
                <w:sz w:val="24"/>
                <w:szCs w:val="24"/>
                <w:highlight w:val="none"/>
                <w:vertAlign w:val="baseline"/>
                <w:lang w:val="en-US" w:eastAsia="zh-CN"/>
              </w:rPr>
              <w:t>地市级（含）以上国有企业</w:t>
            </w:r>
            <w:r>
              <w:rPr>
                <w:rFonts w:hint="eastAsia" w:ascii="仿宋_GB2312" w:hAnsi="宋体" w:eastAsia="仿宋_GB2312" w:cs="仿宋"/>
                <w:sz w:val="24"/>
                <w:szCs w:val="24"/>
                <w:highlight w:val="none"/>
                <w:vertAlign w:val="baseline"/>
                <w:lang w:val="en-US" w:eastAsia="zh-CN" w:bidi="ar-SA"/>
              </w:rPr>
              <w:t>”“大型金融机构”等</w:t>
            </w:r>
          </w:p>
        </w:tc>
        <w:tc>
          <w:tcPr>
            <w:tcW w:w="0" w:type="auto"/>
          </w:tcPr>
          <w:p w14:paraId="5111F5F5">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vAlign w:val="top"/>
          </w:tcPr>
          <w:p w14:paraId="72447A1F">
            <w:pPr>
              <w:pStyle w:val="2"/>
              <w:widowControl w:val="0"/>
              <w:jc w:val="both"/>
              <w:rPr>
                <w:rFonts w:hint="eastAsia"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注：根据服务内容，对照“业绩证明评分内容”说明该业绩具体属于该类别下第几款或哪一细分类型</w:t>
            </w:r>
          </w:p>
        </w:tc>
        <w:tc>
          <w:tcPr>
            <w:tcW w:w="0" w:type="auto"/>
          </w:tcPr>
          <w:p w14:paraId="5BE25D28">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注：分别写明起止时间</w:t>
            </w:r>
          </w:p>
        </w:tc>
        <w:tc>
          <w:tcPr>
            <w:tcW w:w="0" w:type="auto"/>
          </w:tcPr>
          <w:p w14:paraId="05CEA679">
            <w:pPr>
              <w:pStyle w:val="2"/>
              <w:widowControl w:val="0"/>
              <w:jc w:val="both"/>
              <w:rPr>
                <w:rFonts w:hint="default"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注：所承担职责指团队成员在该业绩中担任团队负责人、现场负责人、主办律师、辅办律师或其他角色</w:t>
            </w:r>
          </w:p>
        </w:tc>
        <w:tc>
          <w:tcPr>
            <w:tcW w:w="0" w:type="auto"/>
          </w:tcPr>
          <w:p w14:paraId="7FC5F9F0">
            <w:pPr>
              <w:pStyle w:val="2"/>
              <w:widowControl w:val="0"/>
              <w:jc w:val="both"/>
              <w:rPr>
                <w:rFonts w:hint="default" w:ascii="仿宋_GB2312" w:hAnsi="宋体" w:eastAsia="仿宋_GB2312" w:cs="仿宋"/>
                <w:sz w:val="24"/>
                <w:szCs w:val="24"/>
                <w:highlight w:val="none"/>
                <w:vertAlign w:val="baseline"/>
                <w:lang w:val="en-US" w:eastAsia="zh-CN" w:bidi="ar-SA"/>
              </w:rPr>
            </w:pPr>
          </w:p>
        </w:tc>
        <w:tc>
          <w:tcPr>
            <w:tcW w:w="0" w:type="auto"/>
          </w:tcPr>
          <w:p w14:paraId="4B73F09D">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512F62D0">
            <w:pPr>
              <w:pStyle w:val="2"/>
              <w:widowControl w:val="0"/>
              <w:jc w:val="both"/>
              <w:rPr>
                <w:rFonts w:hint="eastAsia"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注：申请人希望说明的其他事项</w:t>
            </w:r>
          </w:p>
        </w:tc>
      </w:tr>
      <w:tr w14:paraId="36BA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09635F">
            <w:pPr>
              <w:pStyle w:val="2"/>
              <w:widowControl w:val="0"/>
              <w:jc w:val="both"/>
              <w:rPr>
                <w:rFonts w:hint="eastAsia" w:ascii="仿宋_GB2312" w:hAnsi="宋体" w:eastAsia="仿宋_GB2312" w:cs="仿宋"/>
                <w:sz w:val="24"/>
                <w:szCs w:val="24"/>
                <w:highlight w:val="none"/>
                <w:vertAlign w:val="baseline"/>
                <w:lang w:val="en-US" w:eastAsia="zh-CN" w:bidi="ar-SA"/>
              </w:rPr>
            </w:pPr>
            <w:r>
              <w:rPr>
                <w:rFonts w:hint="eastAsia" w:ascii="仿宋_GB2312" w:hAnsi="宋体" w:eastAsia="仿宋_GB2312" w:cs="仿宋"/>
                <w:sz w:val="24"/>
                <w:szCs w:val="24"/>
                <w:highlight w:val="none"/>
                <w:vertAlign w:val="baseline"/>
                <w:lang w:val="en-US" w:eastAsia="zh-CN" w:bidi="ar-SA"/>
              </w:rPr>
              <w:t>……</w:t>
            </w:r>
          </w:p>
        </w:tc>
        <w:tc>
          <w:tcPr>
            <w:tcW w:w="0" w:type="auto"/>
          </w:tcPr>
          <w:p w14:paraId="411D2EAB">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2204DEC7">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14165E59">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4A66B271">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254B756A">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444F05A4">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3AEBC8BE">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0C6E697B">
            <w:pPr>
              <w:pStyle w:val="2"/>
              <w:widowControl w:val="0"/>
              <w:jc w:val="both"/>
              <w:rPr>
                <w:rFonts w:hint="eastAsia" w:ascii="仿宋_GB2312" w:hAnsi="宋体" w:eastAsia="仿宋_GB2312" w:cs="仿宋"/>
                <w:sz w:val="24"/>
                <w:szCs w:val="24"/>
                <w:highlight w:val="none"/>
                <w:vertAlign w:val="baseline"/>
                <w:lang w:val="en-US" w:eastAsia="zh-CN" w:bidi="ar-SA"/>
              </w:rPr>
            </w:pPr>
          </w:p>
        </w:tc>
        <w:tc>
          <w:tcPr>
            <w:tcW w:w="0" w:type="auto"/>
          </w:tcPr>
          <w:p w14:paraId="3C16D298">
            <w:pPr>
              <w:pStyle w:val="2"/>
              <w:widowControl w:val="0"/>
              <w:jc w:val="both"/>
              <w:rPr>
                <w:rFonts w:hint="eastAsia" w:ascii="仿宋_GB2312" w:hAnsi="宋体" w:eastAsia="仿宋_GB2312" w:cs="仿宋"/>
                <w:sz w:val="24"/>
                <w:szCs w:val="24"/>
                <w:highlight w:val="none"/>
                <w:vertAlign w:val="baseline"/>
                <w:lang w:val="en-US" w:eastAsia="zh-CN" w:bidi="ar-SA"/>
              </w:rPr>
            </w:pPr>
          </w:p>
        </w:tc>
      </w:tr>
    </w:tbl>
    <w:p w14:paraId="55616A9A">
      <w:pPr>
        <w:keepNext w:val="0"/>
        <w:keepLines w:val="0"/>
        <w:pageBreakBefore w:val="0"/>
        <w:widowControl w:val="0"/>
        <w:tabs>
          <w:tab w:val="left" w:pos="142"/>
        </w:tabs>
        <w:kinsoku/>
        <w:wordWrap/>
        <w:overflowPunct/>
        <w:topLinePunct w:val="0"/>
        <w:autoSpaceDE/>
        <w:autoSpaceDN/>
        <w:bidi w:val="0"/>
        <w:adjustRightInd/>
        <w:snapToGrid/>
        <w:spacing w:after="0" w:line="578" w:lineRule="exact"/>
        <w:ind w:firstLine="0" w:firstLineChars="0"/>
        <w:jc w:val="both"/>
        <w:textAlignment w:val="auto"/>
        <w:rPr>
          <w:rFonts w:hint="default"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cs="仿宋"/>
          <w:b w:val="0"/>
          <w:bCs w:val="0"/>
          <w:sz w:val="32"/>
          <w:szCs w:val="32"/>
          <w:highlight w:val="none"/>
          <w:vertAlign w:val="baseline"/>
          <w:lang w:val="en-US" w:eastAsia="zh-CN" w:bidi="ar-SA"/>
        </w:rPr>
        <w:t>2.XX类业绩证明</w:t>
      </w:r>
    </w:p>
    <w:p w14:paraId="49935AAF">
      <w:pPr>
        <w:pStyle w:val="2"/>
        <w:numPr>
          <w:ilvl w:val="0"/>
          <w:numId w:val="16"/>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申请人认为需要提交的其他资料······X页</w:t>
      </w:r>
    </w:p>
    <w:p w14:paraId="2D7C806C">
      <w:pPr>
        <w:pStyle w:val="2"/>
        <w:numPr>
          <w:ilvl w:val="0"/>
          <w:numId w:val="0"/>
        </w:numPr>
        <w:rPr>
          <w:rFonts w:hint="eastAsia" w:ascii="仿宋_GB2312" w:hAnsi="宋体" w:eastAsia="仿宋_GB2312" w:cs="仿宋"/>
          <w:b w:val="0"/>
          <w:bCs w:val="0"/>
          <w:sz w:val="32"/>
          <w:szCs w:val="32"/>
          <w:highlight w:val="none"/>
          <w:vertAlign w:val="baseline"/>
          <w:lang w:val="en-US" w:eastAsia="zh-CN" w:bidi="ar-SA"/>
        </w:rPr>
        <w:sectPr>
          <w:pgSz w:w="11906" w:h="16838"/>
          <w:pgMar w:top="1440" w:right="1800" w:bottom="1440" w:left="1800" w:header="851" w:footer="992" w:gutter="0"/>
          <w:pgNumType w:fmt="numberInDash"/>
          <w:cols w:space="425" w:num="1"/>
          <w:docGrid w:type="lines" w:linePitch="312" w:charSpace="0"/>
        </w:sectPr>
      </w:pPr>
    </w:p>
    <w:p w14:paraId="1874818A">
      <w:pPr>
        <w:pStyle w:val="2"/>
        <w:numPr>
          <w:ilvl w:val="0"/>
          <w:numId w:val="0"/>
        </w:numPr>
        <w:rPr>
          <w:rFonts w:hint="eastAsia"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cs="仿宋"/>
          <w:b w:val="0"/>
          <w:bCs w:val="0"/>
          <w:sz w:val="32"/>
          <w:szCs w:val="32"/>
          <w:highlight w:val="none"/>
          <w:vertAlign w:val="baseline"/>
          <w:lang w:val="en-US" w:eastAsia="zh-CN" w:bidi="ar-SA"/>
        </w:rPr>
        <w:t>附件2</w:t>
      </w:r>
    </w:p>
    <w:p w14:paraId="2D638E72">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8" w:lineRule="exact"/>
        <w:ind w:firstLine="0" w:firstLineChars="0"/>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诚信声明</w:t>
      </w:r>
    </w:p>
    <w:p w14:paraId="1A44277D">
      <w:pPr>
        <w:pStyle w:val="9"/>
        <w:spacing w:before="0" w:beforeAutospacing="0" w:after="0" w:afterAutospacing="0" w:line="578" w:lineRule="exact"/>
      </w:pPr>
    </w:p>
    <w:p w14:paraId="22B0D879">
      <w:pPr>
        <w:widowControl w:val="0"/>
        <w:adjustRightInd w:val="0"/>
        <w:snapToGrid w:val="0"/>
        <w:spacing w:after="0" w:line="578" w:lineRule="exact"/>
        <w:ind w:firstLine="0" w:firstLineChars="0"/>
        <w:jc w:val="both"/>
        <w:rPr>
          <w:rFonts w:ascii="仿宋_GB2312" w:hAnsi="宋体" w:eastAsia="仿宋_GB2312"/>
          <w:b/>
          <w:bCs/>
          <w:lang w:eastAsia="zh-CN"/>
        </w:rPr>
      </w:pPr>
      <w:r>
        <w:rPr>
          <w:rFonts w:hint="eastAsia" w:ascii="仿宋_GB2312" w:hAnsi="宋体" w:eastAsia="仿宋_GB2312"/>
          <w:b/>
          <w:bCs/>
          <w:lang w:eastAsia="zh-CN"/>
        </w:rPr>
        <w:t>致海南省财金集团有限公司：</w:t>
      </w:r>
    </w:p>
    <w:p w14:paraId="31776068">
      <w:pPr>
        <w:widowControl w:val="0"/>
        <w:adjustRightInd w:val="0"/>
        <w:snapToGrid w:val="0"/>
        <w:spacing w:after="0" w:line="578" w:lineRule="exact"/>
        <w:ind w:firstLine="640"/>
        <w:jc w:val="both"/>
        <w:rPr>
          <w:rFonts w:ascii="仿宋_GB2312" w:hAnsi="宋体" w:eastAsia="仿宋_GB2312"/>
          <w:lang w:eastAsia="zh-CN"/>
        </w:rPr>
      </w:pPr>
      <w:r>
        <w:rPr>
          <w:rFonts w:hint="eastAsia" w:ascii="仿宋_GB2312" w:hAnsi="宋体" w:eastAsia="仿宋_GB2312"/>
          <w:lang w:eastAsia="zh-CN"/>
        </w:rPr>
        <w:t>针对贵司组织的《海南财金集团</w:t>
      </w:r>
      <w:r>
        <w:rPr>
          <w:rFonts w:hint="eastAsia" w:ascii="仿宋_GB2312" w:hAnsi="宋体" w:eastAsia="仿宋_GB2312"/>
          <w:lang w:val="en-US" w:eastAsia="zh-CN"/>
        </w:rPr>
        <w:t>法律服务类</w:t>
      </w:r>
      <w:r>
        <w:rPr>
          <w:rFonts w:hint="eastAsia" w:ascii="仿宋_GB2312" w:hAnsi="宋体" w:eastAsia="仿宋_GB2312"/>
          <w:lang w:eastAsia="zh-CN"/>
        </w:rPr>
        <w:t>中介机构备选库入库比选项目》，</w:t>
      </w:r>
      <w:r>
        <w:rPr>
          <w:rFonts w:hint="eastAsia" w:ascii="仿宋_GB2312" w:hAnsi="宋体" w:eastAsia="仿宋_GB2312"/>
          <w:u w:val="single"/>
          <w:lang w:eastAsia="zh-CN"/>
        </w:rPr>
        <w:t xml:space="preserve">  （申请人名称）    </w:t>
      </w:r>
      <w:r>
        <w:rPr>
          <w:rFonts w:hint="eastAsia" w:ascii="仿宋_GB2312" w:hAnsi="宋体" w:eastAsia="仿宋_GB2312"/>
          <w:lang w:eastAsia="zh-CN"/>
        </w:rPr>
        <w:t>郑重声明如下：</w:t>
      </w:r>
    </w:p>
    <w:p w14:paraId="57AF705D">
      <w:pPr>
        <w:widowControl w:val="0"/>
        <w:adjustRightInd w:val="0"/>
        <w:snapToGrid w:val="0"/>
        <w:spacing w:after="0" w:line="578" w:lineRule="exact"/>
        <w:ind w:firstLine="640"/>
        <w:jc w:val="both"/>
        <w:rPr>
          <w:rFonts w:hint="eastAsia" w:ascii="仿宋_GB2312" w:hAnsi="宋体" w:eastAsia="仿宋_GB2312"/>
          <w:lang w:eastAsia="zh-CN"/>
        </w:rPr>
      </w:pPr>
      <w:r>
        <w:rPr>
          <w:rFonts w:hint="eastAsia" w:ascii="仿宋_GB2312" w:hAnsi="宋体" w:eastAsia="仿宋_GB2312"/>
          <w:lang w:eastAsia="zh-CN"/>
        </w:rPr>
        <w:t>我所具有良好的行业信誉和健全的内部控制制度；具有履行合同所必需的专业技术能力；</w:t>
      </w:r>
      <w:r>
        <w:rPr>
          <w:rFonts w:hint="eastAsia" w:ascii="仿宋_GB2312" w:hAnsi="宋体" w:eastAsia="仿宋_GB2312"/>
          <w:lang w:val="en-US" w:eastAsia="zh-CN"/>
        </w:rPr>
        <w:t>具</w:t>
      </w:r>
      <w:r>
        <w:rPr>
          <w:rFonts w:hint="eastAsia" w:ascii="仿宋_GB2312" w:hAnsi="宋体" w:eastAsia="仿宋_GB2312"/>
          <w:lang w:eastAsia="zh-CN"/>
        </w:rPr>
        <w:t>有依法缴纳税收和社会保障资金的良好记录；近</w:t>
      </w:r>
      <w:r>
        <w:rPr>
          <w:rFonts w:hint="eastAsia" w:ascii="仿宋_GB2312" w:hAnsi="宋体" w:eastAsia="仿宋_GB2312"/>
          <w:lang w:val="en-US" w:eastAsia="zh-CN"/>
        </w:rPr>
        <w:t>5</w:t>
      </w:r>
      <w:r>
        <w:rPr>
          <w:rFonts w:hint="eastAsia" w:ascii="仿宋_GB2312" w:hAnsi="宋体" w:eastAsia="仿宋_GB2312"/>
          <w:lang w:eastAsia="zh-CN"/>
        </w:rPr>
        <w:t>年内我所</w:t>
      </w:r>
      <w:r>
        <w:rPr>
          <w:rFonts w:hint="eastAsia" w:ascii="仿宋_GB2312" w:hAnsi="宋体" w:eastAsia="仿宋_GB2312"/>
          <w:lang w:val="en-US" w:eastAsia="zh-CN"/>
        </w:rPr>
        <w:t>及单位</w:t>
      </w:r>
      <w:r>
        <w:rPr>
          <w:rFonts w:hint="eastAsia" w:ascii="仿宋_GB2312" w:hAnsi="宋体" w:eastAsia="仿宋_GB2312"/>
          <w:lang w:eastAsia="zh-CN"/>
        </w:rPr>
        <w:t>负责人未有犯罪行为；近</w:t>
      </w:r>
      <w:r>
        <w:rPr>
          <w:rFonts w:hint="eastAsia" w:ascii="仿宋_GB2312" w:hAnsi="宋体" w:eastAsia="仿宋_GB2312"/>
          <w:lang w:val="en-US" w:eastAsia="zh-CN"/>
        </w:rPr>
        <w:t>5</w:t>
      </w:r>
      <w:r>
        <w:rPr>
          <w:rFonts w:hint="eastAsia" w:ascii="仿宋_GB2312" w:hAnsi="宋体" w:eastAsia="仿宋_GB2312"/>
          <w:lang w:eastAsia="zh-CN"/>
        </w:rPr>
        <w:t>年内我所未被列入失信被执行人名单，</w:t>
      </w:r>
      <w:r>
        <w:rPr>
          <w:rFonts w:hint="eastAsia" w:ascii="仿宋_GB2312" w:hAnsi="宋体" w:eastAsia="仿宋_GB2312"/>
          <w:lang w:val="en-US" w:eastAsia="zh-CN"/>
        </w:rPr>
        <w:t>未</w:t>
      </w:r>
      <w:r>
        <w:rPr>
          <w:rFonts w:hint="eastAsia" w:ascii="仿宋_GB2312" w:hAnsi="宋体" w:eastAsia="仿宋_GB2312"/>
          <w:lang w:eastAsia="zh-CN"/>
        </w:rPr>
        <w:t>受到刑事处罚，</w:t>
      </w:r>
      <w:r>
        <w:rPr>
          <w:rFonts w:hint="eastAsia" w:ascii="仿宋_GB2312" w:hAnsi="宋体" w:eastAsia="仿宋_GB2312"/>
          <w:lang w:val="en-US" w:eastAsia="zh-CN"/>
        </w:rPr>
        <w:t>未</w:t>
      </w:r>
      <w:r>
        <w:rPr>
          <w:rFonts w:hint="eastAsia" w:ascii="仿宋_GB2312" w:hAnsi="宋体" w:eastAsia="仿宋_GB2312"/>
          <w:lang w:eastAsia="zh-CN"/>
        </w:rPr>
        <w:t>被责令停产停业、吊销许可证或者执照，符合法律法规规定的</w:t>
      </w:r>
      <w:r>
        <w:rPr>
          <w:rFonts w:hint="eastAsia" w:ascii="仿宋_GB2312" w:hAnsi="宋体" w:eastAsia="仿宋_GB2312"/>
          <w:lang w:val="en-US" w:eastAsia="zh-CN"/>
        </w:rPr>
        <w:t>执业</w:t>
      </w:r>
      <w:r>
        <w:rPr>
          <w:rFonts w:hint="eastAsia" w:ascii="仿宋_GB2312" w:hAnsi="宋体" w:eastAsia="仿宋_GB2312"/>
          <w:lang w:eastAsia="zh-CN"/>
        </w:rPr>
        <w:t>资格条件。我所对此声明负全部法律责任。</w:t>
      </w:r>
    </w:p>
    <w:p w14:paraId="4A210377">
      <w:pPr>
        <w:widowControl w:val="0"/>
        <w:adjustRightInd w:val="0"/>
        <w:snapToGrid w:val="0"/>
        <w:spacing w:after="0" w:line="578" w:lineRule="exact"/>
        <w:ind w:firstLine="640"/>
        <w:jc w:val="both"/>
        <w:rPr>
          <w:rFonts w:ascii="仿宋_GB2312" w:hAnsi="宋体" w:eastAsia="仿宋_GB2312"/>
          <w:lang w:eastAsia="zh-CN"/>
        </w:rPr>
      </w:pPr>
      <w:r>
        <w:rPr>
          <w:rFonts w:hint="eastAsia" w:ascii="仿宋_GB2312" w:hAnsi="宋体" w:eastAsia="仿宋_GB2312"/>
          <w:lang w:eastAsia="zh-CN"/>
        </w:rPr>
        <w:t>特此声明。</w:t>
      </w:r>
    </w:p>
    <w:p w14:paraId="77720A91">
      <w:pPr>
        <w:widowControl w:val="0"/>
        <w:adjustRightInd w:val="0"/>
        <w:snapToGrid w:val="0"/>
        <w:spacing w:after="0" w:line="578" w:lineRule="exact"/>
        <w:ind w:firstLine="640"/>
        <w:jc w:val="both"/>
        <w:rPr>
          <w:rFonts w:ascii="仿宋_GB2312" w:hAnsi="宋体" w:eastAsia="仿宋_GB2312"/>
          <w:lang w:eastAsia="zh-CN"/>
        </w:rPr>
      </w:pPr>
      <w:r>
        <w:rPr>
          <w:rFonts w:hint="eastAsia" w:ascii="仿宋_GB2312" w:hAnsi="宋体" w:eastAsia="仿宋_GB2312"/>
          <w:lang w:eastAsia="zh-CN"/>
        </w:rPr>
        <w:t xml:space="preserve">  </w:t>
      </w:r>
    </w:p>
    <w:p w14:paraId="4512A593">
      <w:pPr>
        <w:widowControl w:val="0"/>
        <w:adjustRightInd w:val="0"/>
        <w:snapToGrid w:val="0"/>
        <w:spacing w:after="0" w:line="578" w:lineRule="exact"/>
        <w:ind w:firstLine="640"/>
        <w:jc w:val="both"/>
        <w:rPr>
          <w:rFonts w:ascii="仿宋_GB2312" w:hAnsi="宋体" w:eastAsia="仿宋_GB2312"/>
          <w:lang w:eastAsia="zh-CN"/>
        </w:rPr>
      </w:pPr>
    </w:p>
    <w:p w14:paraId="595C4FB8">
      <w:pPr>
        <w:widowControl w:val="0"/>
        <w:wordWrap w:val="0"/>
        <w:adjustRightInd w:val="0"/>
        <w:snapToGrid w:val="0"/>
        <w:spacing w:after="0" w:line="578" w:lineRule="exact"/>
        <w:ind w:firstLine="640"/>
        <w:jc w:val="right"/>
        <w:rPr>
          <w:rFonts w:ascii="仿宋_GB2312" w:hAnsi="宋体" w:eastAsia="仿宋_GB2312"/>
          <w:lang w:eastAsia="zh-CN"/>
        </w:rPr>
      </w:pPr>
      <w:r>
        <w:rPr>
          <w:rFonts w:hint="eastAsia" w:ascii="仿宋_GB2312" w:hAnsi="宋体" w:eastAsia="仿宋_GB2312"/>
          <w:lang w:eastAsia="zh-CN"/>
        </w:rPr>
        <w:t xml:space="preserve">申请人名称（盖章）：          </w:t>
      </w:r>
    </w:p>
    <w:p w14:paraId="0C90D990">
      <w:pPr>
        <w:widowControl w:val="0"/>
        <w:wordWrap w:val="0"/>
        <w:adjustRightInd w:val="0"/>
        <w:snapToGrid w:val="0"/>
        <w:spacing w:after="0" w:line="578" w:lineRule="exact"/>
        <w:ind w:firstLine="640"/>
        <w:jc w:val="right"/>
        <w:rPr>
          <w:rFonts w:ascii="仿宋_GB2312" w:hAnsi="宋体" w:eastAsia="仿宋_GB2312"/>
          <w:lang w:eastAsia="zh-CN"/>
        </w:rPr>
      </w:pPr>
      <w:r>
        <w:rPr>
          <w:rFonts w:hint="eastAsia" w:ascii="仿宋_GB2312" w:hAnsi="宋体" w:eastAsia="仿宋_GB2312"/>
          <w:lang w:eastAsia="zh-CN"/>
        </w:rPr>
        <w:t xml:space="preserve">日期：                        </w:t>
      </w:r>
    </w:p>
    <w:p w14:paraId="7747D15A">
      <w:pPr>
        <w:pStyle w:val="2"/>
        <w:numPr>
          <w:ilvl w:val="0"/>
          <w:numId w:val="0"/>
        </w:numPr>
        <w:rPr>
          <w:rFonts w:hint="default" w:ascii="仿宋_GB2312" w:hAnsi="宋体" w:eastAsia="仿宋_GB2312" w:cs="仿宋"/>
          <w:b w:val="0"/>
          <w:bCs w:val="0"/>
          <w:sz w:val="32"/>
          <w:szCs w:val="32"/>
          <w:highlight w:val="none"/>
          <w:vertAlign w:val="baseline"/>
          <w:lang w:val="en-US" w:eastAsia="zh-CN" w:bidi="ar-SA"/>
        </w:rPr>
      </w:pPr>
    </w:p>
    <w:p w14:paraId="7E18EDCF">
      <w:pPr>
        <w:pStyle w:val="2"/>
        <w:numPr>
          <w:ilvl w:val="0"/>
          <w:numId w:val="0"/>
        </w:numPr>
        <w:rPr>
          <w:rFonts w:hint="default" w:ascii="仿宋_GB2312" w:hAnsi="宋体" w:eastAsia="仿宋_GB2312" w:cs="仿宋"/>
          <w:b w:val="0"/>
          <w:bCs w:val="0"/>
          <w:sz w:val="32"/>
          <w:szCs w:val="32"/>
          <w:highlight w:val="none"/>
          <w:vertAlign w:val="baseline"/>
          <w:lang w:val="en-US" w:eastAsia="zh-CN" w:bidi="ar-SA"/>
        </w:rPr>
        <w:sectPr>
          <w:pgSz w:w="11906" w:h="16838"/>
          <w:pgMar w:top="1440" w:right="1800" w:bottom="1440" w:left="1800" w:header="851" w:footer="992" w:gutter="0"/>
          <w:pgNumType w:fmt="numberInDash"/>
          <w:cols w:space="425" w:num="1"/>
          <w:docGrid w:type="lines" w:linePitch="312" w:charSpace="0"/>
        </w:sectPr>
      </w:pPr>
    </w:p>
    <w:p w14:paraId="0EF172E8">
      <w:pPr>
        <w:pStyle w:val="2"/>
        <w:numPr>
          <w:ilvl w:val="0"/>
          <w:numId w:val="0"/>
        </w:numPr>
        <w:rPr>
          <w:rFonts w:hint="eastAsia"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cs="仿宋"/>
          <w:b w:val="0"/>
          <w:bCs w:val="0"/>
          <w:sz w:val="32"/>
          <w:szCs w:val="32"/>
          <w:highlight w:val="none"/>
          <w:vertAlign w:val="baseline"/>
          <w:lang w:val="en-US" w:eastAsia="zh-CN" w:bidi="ar-SA"/>
        </w:rPr>
        <w:t>附件3</w:t>
      </w:r>
    </w:p>
    <w:p w14:paraId="1B89829B">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8" w:lineRule="exact"/>
        <w:ind w:firstLine="0" w:firstLineChars="0"/>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团队成员名单</w:t>
      </w:r>
    </w:p>
    <w:p w14:paraId="4F2E8B2C">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lang w:eastAsia="zh-CN"/>
        </w:rPr>
      </w:pPr>
    </w:p>
    <w:p w14:paraId="4B72C59A">
      <w:pPr>
        <w:pageBreakBefore w:val="0"/>
        <w:widowControl w:val="0"/>
        <w:kinsoku/>
        <w:overflowPunct/>
        <w:topLinePunct w:val="0"/>
        <w:autoSpaceDE/>
        <w:autoSpaceDN/>
        <w:bidi w:val="0"/>
        <w:adjustRightInd w:val="0"/>
        <w:snapToGrid w:val="0"/>
        <w:spacing w:after="0" w:line="578" w:lineRule="exact"/>
        <w:ind w:firstLine="0" w:firstLineChars="0"/>
        <w:jc w:val="both"/>
        <w:textAlignment w:val="auto"/>
        <w:rPr>
          <w:rFonts w:ascii="仿宋_GB2312" w:hAnsi="宋体" w:eastAsia="仿宋_GB2312"/>
          <w:b/>
          <w:bCs/>
          <w:lang w:eastAsia="zh-CN"/>
        </w:rPr>
      </w:pPr>
      <w:r>
        <w:rPr>
          <w:rFonts w:hint="eastAsia" w:ascii="仿宋_GB2312" w:hAnsi="宋体" w:eastAsia="仿宋_GB2312"/>
          <w:b/>
          <w:bCs/>
          <w:lang w:eastAsia="zh-CN"/>
        </w:rPr>
        <w:t>致海南省财金集团有限公司：</w:t>
      </w:r>
    </w:p>
    <w:p w14:paraId="72AF8B51">
      <w:pPr>
        <w:pageBreakBefore w:val="0"/>
        <w:widowControl w:val="0"/>
        <w:kinsoku/>
        <w:overflowPunct/>
        <w:topLinePunct w:val="0"/>
        <w:autoSpaceDE/>
        <w:autoSpaceDN/>
        <w:bidi w:val="0"/>
        <w:adjustRightInd w:val="0"/>
        <w:snapToGrid w:val="0"/>
        <w:spacing w:after="0" w:line="578" w:lineRule="exact"/>
        <w:ind w:firstLine="640"/>
        <w:jc w:val="both"/>
        <w:textAlignment w:val="auto"/>
        <w:rPr>
          <w:rFonts w:hint="default" w:ascii="仿宋_GB2312" w:hAnsi="宋体" w:eastAsia="仿宋_GB2312"/>
          <w:lang w:val="en-US" w:eastAsia="zh-CN"/>
        </w:rPr>
      </w:pPr>
      <w:r>
        <w:rPr>
          <w:rFonts w:hint="eastAsia" w:ascii="仿宋_GB2312" w:hAnsi="宋体" w:eastAsia="仿宋_GB2312"/>
          <w:lang w:eastAsia="zh-CN"/>
        </w:rPr>
        <w:t>针对贵司组织的《海南财金集团</w:t>
      </w:r>
      <w:r>
        <w:rPr>
          <w:rFonts w:hint="eastAsia" w:ascii="仿宋_GB2312" w:hAnsi="宋体" w:eastAsia="仿宋_GB2312"/>
          <w:lang w:val="en-US" w:eastAsia="zh-CN"/>
        </w:rPr>
        <w:t>法律服务类</w:t>
      </w:r>
      <w:r>
        <w:rPr>
          <w:rFonts w:hint="eastAsia" w:ascii="仿宋_GB2312" w:hAnsi="宋体" w:eastAsia="仿宋_GB2312"/>
          <w:lang w:eastAsia="zh-CN"/>
        </w:rPr>
        <w:t>中介机构备选库入库比选项目》，</w:t>
      </w:r>
      <w:r>
        <w:rPr>
          <w:rFonts w:hint="eastAsia" w:ascii="仿宋_GB2312" w:hAnsi="宋体" w:eastAsia="仿宋_GB2312"/>
          <w:u w:val="single"/>
          <w:lang w:eastAsia="zh-CN"/>
        </w:rPr>
        <w:t xml:space="preserve">  （申请人名称）    </w:t>
      </w:r>
      <w:r>
        <w:rPr>
          <w:rFonts w:hint="eastAsia" w:ascii="仿宋_GB2312" w:hAnsi="宋体" w:eastAsia="仿宋_GB2312"/>
          <w:lang w:eastAsia="zh-CN"/>
        </w:rPr>
        <w:t>郑重声明，我所拟委派下列人员作为入库团队成员，</w:t>
      </w:r>
      <w:r>
        <w:rPr>
          <w:rFonts w:hint="eastAsia" w:ascii="仿宋_GB2312" w:hAnsi="宋体" w:eastAsia="仿宋_GB2312"/>
          <w:lang w:val="en-US" w:eastAsia="zh-CN"/>
        </w:rPr>
        <w:t>在</w:t>
      </w:r>
      <w:r>
        <w:rPr>
          <w:rFonts w:hint="eastAsia" w:ascii="仿宋_GB2312" w:hAnsi="宋体" w:eastAsia="仿宋_GB2312"/>
          <w:highlight w:val="none"/>
          <w:lang w:val="en-US" w:eastAsia="zh-CN"/>
        </w:rPr>
        <w:t>实际服务中，</w:t>
      </w:r>
      <w:r>
        <w:rPr>
          <w:rFonts w:hint="eastAsia" w:ascii="仿宋_GB2312" w:hAnsi="宋体" w:eastAsia="仿宋_GB2312"/>
          <w:lang w:eastAsia="zh-CN"/>
        </w:rPr>
        <w:t>未经贵司书面同意，我所承诺不擅自</w:t>
      </w:r>
      <w:r>
        <w:rPr>
          <w:rFonts w:hint="eastAsia" w:ascii="仿宋_GB2312" w:hAnsi="宋体" w:eastAsia="仿宋_GB2312"/>
          <w:lang w:val="en-US" w:eastAsia="zh-CN"/>
        </w:rPr>
        <w:t>更换</w:t>
      </w:r>
      <w:r>
        <w:rPr>
          <w:rFonts w:hint="eastAsia" w:ascii="仿宋_GB2312" w:hAnsi="宋体" w:eastAsia="仿宋_GB2312"/>
          <w:highlight w:val="none"/>
          <w:lang w:val="en-US" w:eastAsia="zh-CN"/>
        </w:rPr>
        <w:t>或安排他人顶替团队成员，否则公司有权视情节轻重采取剔除出库，以及（在已签署服务协议的情况下）追究我所违约责任、扣减应付我所服务费用、单方解除协议或不予支付任何费用等措施。</w:t>
      </w:r>
    </w:p>
    <w:p w14:paraId="4B1C710D">
      <w:pPr>
        <w:pageBreakBefore w:val="0"/>
        <w:widowControl w:val="0"/>
        <w:kinsoku/>
        <w:overflowPunct/>
        <w:topLinePunct w:val="0"/>
        <w:autoSpaceDE/>
        <w:autoSpaceDN/>
        <w:bidi w:val="0"/>
        <w:adjustRightInd w:val="0"/>
        <w:snapToGrid w:val="0"/>
        <w:spacing w:after="0" w:line="578" w:lineRule="exact"/>
        <w:ind w:firstLine="640"/>
        <w:jc w:val="both"/>
        <w:textAlignment w:val="auto"/>
        <w:rPr>
          <w:rFonts w:hint="eastAsia" w:ascii="仿宋_GB2312" w:hAnsi="宋体" w:eastAsia="仿宋_GB2312"/>
          <w:lang w:eastAsia="zh-CN"/>
        </w:rPr>
      </w:pPr>
    </w:p>
    <w:tbl>
      <w:tblPr>
        <w:tblStyle w:val="11"/>
        <w:tblW w:w="8993"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309"/>
        <w:gridCol w:w="1298"/>
        <w:gridCol w:w="1548"/>
        <w:gridCol w:w="1241"/>
        <w:gridCol w:w="2766"/>
      </w:tblGrid>
      <w:tr w14:paraId="5222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4D34E5F">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b/>
                <w:bCs/>
                <w:sz w:val="24"/>
                <w:szCs w:val="24"/>
                <w:lang w:eastAsia="zh-CN"/>
              </w:rPr>
            </w:pPr>
            <w:r>
              <w:rPr>
                <w:rFonts w:hint="eastAsia"/>
                <w:b/>
                <w:bCs/>
                <w:sz w:val="24"/>
                <w:szCs w:val="24"/>
                <w:lang w:eastAsia="zh-CN"/>
              </w:rPr>
              <w:t>序号</w:t>
            </w:r>
          </w:p>
        </w:tc>
        <w:tc>
          <w:tcPr>
            <w:tcW w:w="1309" w:type="dxa"/>
            <w:vAlign w:val="center"/>
          </w:tcPr>
          <w:p w14:paraId="34A83698">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b/>
                <w:bCs/>
                <w:sz w:val="24"/>
                <w:szCs w:val="24"/>
                <w:lang w:eastAsia="zh-CN"/>
              </w:rPr>
            </w:pPr>
            <w:r>
              <w:rPr>
                <w:rFonts w:hint="eastAsia"/>
                <w:b/>
                <w:bCs/>
                <w:sz w:val="24"/>
                <w:szCs w:val="24"/>
                <w:lang w:eastAsia="zh-CN"/>
              </w:rPr>
              <w:t>姓名</w:t>
            </w:r>
          </w:p>
        </w:tc>
        <w:tc>
          <w:tcPr>
            <w:tcW w:w="1298" w:type="dxa"/>
            <w:vAlign w:val="center"/>
          </w:tcPr>
          <w:p w14:paraId="2BB6B7C2">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rFonts w:hint="eastAsia"/>
                <w:b/>
                <w:bCs/>
                <w:sz w:val="24"/>
                <w:szCs w:val="24"/>
                <w:lang w:eastAsia="zh-CN"/>
              </w:rPr>
            </w:pPr>
            <w:r>
              <w:rPr>
                <w:rFonts w:hint="eastAsia"/>
                <w:b/>
                <w:bCs/>
                <w:sz w:val="24"/>
                <w:szCs w:val="24"/>
                <w:lang w:eastAsia="zh-CN"/>
              </w:rPr>
              <w:t>执业年限</w:t>
            </w:r>
          </w:p>
        </w:tc>
        <w:tc>
          <w:tcPr>
            <w:tcW w:w="1548" w:type="dxa"/>
            <w:vAlign w:val="center"/>
          </w:tcPr>
          <w:p w14:paraId="2B95E0E6">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b/>
                <w:bCs/>
                <w:sz w:val="24"/>
                <w:szCs w:val="24"/>
                <w:lang w:eastAsia="zh-CN"/>
              </w:rPr>
            </w:pPr>
            <w:r>
              <w:rPr>
                <w:rFonts w:hint="eastAsia"/>
                <w:b/>
                <w:bCs/>
                <w:sz w:val="24"/>
                <w:szCs w:val="24"/>
                <w:lang w:eastAsia="zh-CN"/>
              </w:rPr>
              <w:t>本项目任职</w:t>
            </w:r>
          </w:p>
        </w:tc>
        <w:tc>
          <w:tcPr>
            <w:tcW w:w="1241" w:type="dxa"/>
            <w:vAlign w:val="center"/>
          </w:tcPr>
          <w:p w14:paraId="4E97CA12">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b/>
                <w:bCs/>
                <w:sz w:val="24"/>
                <w:szCs w:val="24"/>
                <w:lang w:eastAsia="zh-CN"/>
              </w:rPr>
            </w:pPr>
            <w:r>
              <w:rPr>
                <w:rFonts w:hint="eastAsia"/>
                <w:b/>
                <w:bCs/>
                <w:sz w:val="24"/>
                <w:szCs w:val="24"/>
                <w:lang w:eastAsia="zh-CN"/>
              </w:rPr>
              <w:t>学历</w:t>
            </w:r>
          </w:p>
        </w:tc>
        <w:tc>
          <w:tcPr>
            <w:tcW w:w="2766" w:type="dxa"/>
            <w:vAlign w:val="center"/>
          </w:tcPr>
          <w:p w14:paraId="6BDAD691">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b/>
                <w:bCs/>
                <w:sz w:val="24"/>
                <w:szCs w:val="24"/>
                <w:lang w:eastAsia="zh-CN"/>
              </w:rPr>
            </w:pPr>
            <w:r>
              <w:rPr>
                <w:rFonts w:hint="eastAsia"/>
                <w:b/>
                <w:bCs/>
                <w:sz w:val="24"/>
                <w:szCs w:val="24"/>
                <w:lang w:eastAsia="zh-CN"/>
              </w:rPr>
              <w:t>备注</w:t>
            </w:r>
          </w:p>
        </w:tc>
      </w:tr>
      <w:tr w14:paraId="71F6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26A3A0A2">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309" w:type="dxa"/>
            <w:vAlign w:val="center"/>
          </w:tcPr>
          <w:p w14:paraId="61A050B5">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298" w:type="dxa"/>
            <w:vAlign w:val="center"/>
          </w:tcPr>
          <w:p w14:paraId="3E0FA567">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548" w:type="dxa"/>
            <w:vAlign w:val="center"/>
          </w:tcPr>
          <w:p w14:paraId="2B2B7B6A">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241" w:type="dxa"/>
            <w:vAlign w:val="center"/>
          </w:tcPr>
          <w:p w14:paraId="7D679D36">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2766" w:type="dxa"/>
            <w:vAlign w:val="center"/>
          </w:tcPr>
          <w:p w14:paraId="60084CD9">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r>
      <w:tr w14:paraId="7580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51BF86CE">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309" w:type="dxa"/>
            <w:vAlign w:val="center"/>
          </w:tcPr>
          <w:p w14:paraId="320369DC">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298" w:type="dxa"/>
            <w:vAlign w:val="center"/>
          </w:tcPr>
          <w:p w14:paraId="64E901CF">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548" w:type="dxa"/>
            <w:vAlign w:val="center"/>
          </w:tcPr>
          <w:p w14:paraId="65A1AF94">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241" w:type="dxa"/>
            <w:vAlign w:val="center"/>
          </w:tcPr>
          <w:p w14:paraId="0663335A">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2766" w:type="dxa"/>
            <w:vAlign w:val="center"/>
          </w:tcPr>
          <w:p w14:paraId="6455FFE2">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r>
      <w:tr w14:paraId="04F6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Align w:val="center"/>
          </w:tcPr>
          <w:p w14:paraId="05502F70">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309" w:type="dxa"/>
            <w:vAlign w:val="center"/>
          </w:tcPr>
          <w:p w14:paraId="28F8C211">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298" w:type="dxa"/>
            <w:vAlign w:val="center"/>
          </w:tcPr>
          <w:p w14:paraId="6F86086B">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548" w:type="dxa"/>
            <w:vAlign w:val="center"/>
          </w:tcPr>
          <w:p w14:paraId="5EE2E405">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1241" w:type="dxa"/>
            <w:vAlign w:val="center"/>
          </w:tcPr>
          <w:p w14:paraId="67A3EF11">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c>
          <w:tcPr>
            <w:tcW w:w="2766" w:type="dxa"/>
            <w:vAlign w:val="center"/>
          </w:tcPr>
          <w:p w14:paraId="1FA4C0EB">
            <w:pPr>
              <w:pageBreakBefore w:val="0"/>
              <w:widowControl w:val="0"/>
              <w:kinsoku/>
              <w:overflowPunct/>
              <w:topLinePunct w:val="0"/>
              <w:autoSpaceDE/>
              <w:autoSpaceDN/>
              <w:bidi w:val="0"/>
              <w:adjustRightInd w:val="0"/>
              <w:snapToGrid w:val="0"/>
              <w:spacing w:after="0" w:line="578" w:lineRule="exact"/>
              <w:ind w:firstLine="0" w:firstLineChars="0"/>
              <w:jc w:val="center"/>
              <w:textAlignment w:val="auto"/>
              <w:rPr>
                <w:sz w:val="24"/>
                <w:szCs w:val="24"/>
                <w:lang w:eastAsia="zh-CN"/>
              </w:rPr>
            </w:pPr>
          </w:p>
        </w:tc>
      </w:tr>
    </w:tbl>
    <w:p w14:paraId="186FC8A0">
      <w:pPr>
        <w:pageBreakBefore w:val="0"/>
        <w:widowControl w:val="0"/>
        <w:kinsoku/>
        <w:overflowPunct/>
        <w:topLinePunct w:val="0"/>
        <w:autoSpaceDE/>
        <w:autoSpaceDN/>
        <w:bidi w:val="0"/>
        <w:adjustRightInd w:val="0"/>
        <w:snapToGrid w:val="0"/>
        <w:spacing w:after="0" w:line="578" w:lineRule="exact"/>
        <w:ind w:firstLine="0" w:firstLineChars="0"/>
        <w:jc w:val="both"/>
        <w:textAlignment w:val="auto"/>
        <w:rPr>
          <w:rFonts w:ascii="仿宋_GB2312" w:hAnsi="宋体" w:eastAsia="仿宋_GB2312"/>
          <w:sz w:val="24"/>
          <w:szCs w:val="24"/>
          <w:lang w:eastAsia="zh-CN"/>
        </w:rPr>
      </w:pPr>
      <w:r>
        <w:rPr>
          <w:rFonts w:hint="eastAsia" w:ascii="仿宋_GB2312" w:hAnsi="宋体" w:eastAsia="仿宋_GB2312"/>
          <w:sz w:val="24"/>
          <w:szCs w:val="24"/>
          <w:lang w:eastAsia="zh-CN"/>
        </w:rPr>
        <w:t>填写说明：</w:t>
      </w:r>
    </w:p>
    <w:p w14:paraId="2E43F53C">
      <w:pPr>
        <w:pageBreakBefore w:val="0"/>
        <w:widowControl w:val="0"/>
        <w:kinsoku/>
        <w:overflowPunct/>
        <w:topLinePunct w:val="0"/>
        <w:autoSpaceDE/>
        <w:autoSpaceDN/>
        <w:bidi w:val="0"/>
        <w:adjustRightInd w:val="0"/>
        <w:snapToGrid w:val="0"/>
        <w:spacing w:after="0" w:line="578" w:lineRule="exact"/>
        <w:ind w:firstLine="480"/>
        <w:jc w:val="both"/>
        <w:textAlignment w:val="auto"/>
        <w:rPr>
          <w:rFonts w:ascii="仿宋_GB2312" w:hAnsi="宋体" w:eastAsia="仿宋_GB2312"/>
          <w:sz w:val="24"/>
          <w:szCs w:val="24"/>
          <w:lang w:eastAsia="zh-CN"/>
        </w:rPr>
      </w:pPr>
      <w:r>
        <w:rPr>
          <w:rFonts w:hint="eastAsia" w:ascii="仿宋_GB2312" w:hAnsi="宋体" w:eastAsia="仿宋_GB2312"/>
          <w:sz w:val="24"/>
          <w:szCs w:val="24"/>
          <w:lang w:eastAsia="zh-CN"/>
        </w:rPr>
        <w:t>“本项目任职”分为团队负责人、主办律师</w:t>
      </w:r>
      <w:r>
        <w:rPr>
          <w:rFonts w:hint="eastAsia" w:ascii="仿宋_GB2312" w:hAnsi="仿宋_GB2312" w:eastAsia="仿宋_GB2312" w:cs="仿宋_GB2312"/>
          <w:sz w:val="24"/>
          <w:szCs w:val="24"/>
        </w:rPr>
        <w:t>（现场负责人）</w:t>
      </w:r>
      <w:r>
        <w:rPr>
          <w:rFonts w:hint="eastAsia" w:ascii="仿宋_GB2312" w:hAnsi="宋体" w:eastAsia="仿宋_GB2312"/>
          <w:sz w:val="24"/>
          <w:szCs w:val="24"/>
          <w:lang w:eastAsia="zh-CN"/>
        </w:rPr>
        <w:t>和其他团队成员。</w:t>
      </w:r>
    </w:p>
    <w:p w14:paraId="3E6ECFC7">
      <w:pPr>
        <w:pageBreakBefore w:val="0"/>
        <w:widowControl w:val="0"/>
        <w:kinsoku/>
        <w:overflowPunct/>
        <w:topLinePunct w:val="0"/>
        <w:autoSpaceDE/>
        <w:autoSpaceDN/>
        <w:bidi w:val="0"/>
        <w:adjustRightInd w:val="0"/>
        <w:snapToGrid w:val="0"/>
        <w:spacing w:after="0" w:line="578" w:lineRule="exact"/>
        <w:ind w:firstLine="480"/>
        <w:jc w:val="both"/>
        <w:textAlignment w:val="auto"/>
        <w:rPr>
          <w:rFonts w:ascii="仿宋_GB2312" w:hAnsi="宋体" w:eastAsia="仿宋_GB2312"/>
          <w:sz w:val="24"/>
          <w:szCs w:val="24"/>
          <w:lang w:eastAsia="zh-CN"/>
        </w:rPr>
      </w:pPr>
      <w:r>
        <w:rPr>
          <w:rFonts w:hint="eastAsia" w:ascii="仿宋_GB2312" w:hAnsi="宋体" w:eastAsia="仿宋_GB2312"/>
          <w:sz w:val="24"/>
          <w:szCs w:val="24"/>
          <w:lang w:eastAsia="zh-CN"/>
        </w:rPr>
        <w:t>“学历”填写最高学历。</w:t>
      </w:r>
    </w:p>
    <w:p w14:paraId="086BF4D1">
      <w:pPr>
        <w:pageBreakBefore w:val="0"/>
        <w:widowControl w:val="0"/>
        <w:kinsoku/>
        <w:overflowPunct/>
        <w:topLinePunct w:val="0"/>
        <w:autoSpaceDE/>
        <w:autoSpaceDN/>
        <w:bidi w:val="0"/>
        <w:adjustRightInd w:val="0"/>
        <w:snapToGrid w:val="0"/>
        <w:spacing w:after="0" w:line="578" w:lineRule="exact"/>
        <w:ind w:firstLine="480"/>
        <w:jc w:val="both"/>
        <w:textAlignment w:val="auto"/>
        <w:rPr>
          <w:rFonts w:ascii="仿宋_GB2312" w:hAnsi="宋体" w:eastAsia="仿宋_GB2312"/>
          <w:sz w:val="24"/>
          <w:szCs w:val="24"/>
          <w:lang w:eastAsia="zh-CN"/>
        </w:rPr>
      </w:pPr>
      <w:r>
        <w:rPr>
          <w:rFonts w:hint="eastAsia" w:ascii="仿宋_GB2312" w:hAnsi="宋体" w:eastAsia="仿宋_GB2312"/>
          <w:sz w:val="24"/>
          <w:szCs w:val="24"/>
          <w:lang w:eastAsia="zh-CN"/>
        </w:rPr>
        <w:t>“备注”中可简要说明团队成员主要从事的业务范围或其他需说明的情况。</w:t>
      </w:r>
    </w:p>
    <w:p w14:paraId="761F8E29">
      <w:pPr>
        <w:pageBreakBefore w:val="0"/>
        <w:widowControl w:val="0"/>
        <w:kinsoku/>
        <w:overflowPunct/>
        <w:topLinePunct w:val="0"/>
        <w:autoSpaceDE/>
        <w:autoSpaceDN/>
        <w:bidi w:val="0"/>
        <w:adjustRightInd w:val="0"/>
        <w:snapToGrid w:val="0"/>
        <w:spacing w:after="0" w:line="578" w:lineRule="exact"/>
        <w:ind w:firstLine="640"/>
        <w:jc w:val="both"/>
        <w:textAlignment w:val="auto"/>
        <w:rPr>
          <w:rFonts w:ascii="仿宋_GB2312" w:hAnsi="宋体" w:eastAsia="仿宋_GB2312"/>
          <w:lang w:eastAsia="zh-CN"/>
        </w:rPr>
      </w:pPr>
    </w:p>
    <w:p w14:paraId="5F708C7A">
      <w:pPr>
        <w:pageBreakBefore w:val="0"/>
        <w:widowControl w:val="0"/>
        <w:kinsoku/>
        <w:overflowPunct/>
        <w:topLinePunct w:val="0"/>
        <w:autoSpaceDE/>
        <w:autoSpaceDN/>
        <w:bidi w:val="0"/>
        <w:adjustRightInd w:val="0"/>
        <w:snapToGrid w:val="0"/>
        <w:spacing w:after="0" w:line="578" w:lineRule="exact"/>
        <w:ind w:firstLine="640"/>
        <w:jc w:val="both"/>
        <w:textAlignment w:val="auto"/>
        <w:rPr>
          <w:rFonts w:ascii="仿宋_GB2312" w:hAnsi="宋体" w:eastAsia="仿宋_GB2312"/>
          <w:lang w:eastAsia="zh-CN"/>
        </w:rPr>
      </w:pPr>
    </w:p>
    <w:p w14:paraId="5217E8E4">
      <w:pPr>
        <w:pageBreakBefore w:val="0"/>
        <w:widowControl w:val="0"/>
        <w:kinsoku/>
        <w:wordWrap w:val="0"/>
        <w:overflowPunct/>
        <w:topLinePunct w:val="0"/>
        <w:autoSpaceDE/>
        <w:autoSpaceDN/>
        <w:bidi w:val="0"/>
        <w:adjustRightInd w:val="0"/>
        <w:snapToGrid w:val="0"/>
        <w:spacing w:after="0" w:line="578" w:lineRule="exact"/>
        <w:ind w:firstLine="640"/>
        <w:jc w:val="right"/>
        <w:textAlignment w:val="auto"/>
        <w:rPr>
          <w:rFonts w:ascii="仿宋_GB2312" w:hAnsi="宋体" w:eastAsia="仿宋_GB2312"/>
          <w:lang w:eastAsia="zh-CN"/>
        </w:rPr>
      </w:pPr>
      <w:r>
        <w:rPr>
          <w:rFonts w:hint="eastAsia" w:ascii="仿宋_GB2312" w:hAnsi="宋体" w:eastAsia="仿宋_GB2312"/>
          <w:lang w:eastAsia="zh-CN"/>
        </w:rPr>
        <w:t xml:space="preserve">申请人名称（盖章）：           </w:t>
      </w:r>
    </w:p>
    <w:p w14:paraId="67B0A175">
      <w:pPr>
        <w:pageBreakBefore w:val="0"/>
        <w:widowControl w:val="0"/>
        <w:kinsoku/>
        <w:wordWrap w:val="0"/>
        <w:overflowPunct/>
        <w:topLinePunct w:val="0"/>
        <w:autoSpaceDE/>
        <w:autoSpaceDN/>
        <w:bidi w:val="0"/>
        <w:adjustRightInd w:val="0"/>
        <w:snapToGrid w:val="0"/>
        <w:spacing w:after="0" w:line="578" w:lineRule="exact"/>
        <w:ind w:firstLine="640"/>
        <w:jc w:val="right"/>
        <w:textAlignment w:val="auto"/>
        <w:rPr>
          <w:rFonts w:ascii="仿宋_GB2312" w:hAnsi="宋体" w:eastAsia="仿宋_GB2312"/>
          <w:lang w:eastAsia="zh-CN"/>
        </w:rPr>
      </w:pPr>
      <w:r>
        <w:rPr>
          <w:rFonts w:hint="eastAsia" w:ascii="仿宋_GB2312" w:hAnsi="宋体" w:eastAsia="仿宋_GB2312"/>
          <w:lang w:eastAsia="zh-CN"/>
        </w:rPr>
        <w:t xml:space="preserve">日期：                         </w:t>
      </w:r>
    </w:p>
    <w:p w14:paraId="59C4E57C">
      <w:pPr>
        <w:pStyle w:val="2"/>
        <w:sectPr>
          <w:pgSz w:w="11906" w:h="16838"/>
          <w:pgMar w:top="1440" w:right="1800" w:bottom="1440" w:left="1800" w:header="851" w:footer="992" w:gutter="0"/>
          <w:pgNumType w:fmt="numberInDash"/>
          <w:cols w:space="425" w:num="1"/>
          <w:docGrid w:type="lines" w:linePitch="312" w:charSpace="0"/>
        </w:sectPr>
      </w:pPr>
    </w:p>
    <w:p w14:paraId="0F615A8E">
      <w:pPr>
        <w:pStyle w:val="2"/>
        <w:numPr>
          <w:ilvl w:val="0"/>
          <w:numId w:val="0"/>
        </w:numPr>
        <w:rPr>
          <w:rFonts w:hint="eastAsia"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cs="仿宋"/>
          <w:b w:val="0"/>
          <w:bCs w:val="0"/>
          <w:sz w:val="32"/>
          <w:szCs w:val="32"/>
          <w:highlight w:val="none"/>
          <w:vertAlign w:val="baseline"/>
          <w:lang w:val="en-US" w:eastAsia="zh-CN" w:bidi="ar-SA"/>
        </w:rPr>
        <w:t xml:space="preserve">附件4 </w:t>
      </w:r>
    </w:p>
    <w:p w14:paraId="7365BCF5">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8"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海南财金集团主要业务简介</w:t>
      </w:r>
    </w:p>
    <w:p w14:paraId="35E4B647">
      <w:pPr>
        <w:widowControl w:val="0"/>
        <w:tabs>
          <w:tab w:val="left" w:pos="142"/>
        </w:tabs>
        <w:spacing w:line="578" w:lineRule="exact"/>
        <w:ind w:firstLine="640" w:firstLineChars="200"/>
        <w:jc w:val="both"/>
        <w:rPr>
          <w:rFonts w:hint="eastAsia" w:ascii="仿宋_GB2312" w:hAnsi="宋体" w:eastAsia="仿宋_GB2312" w:cs="仿宋"/>
          <w:b w:val="0"/>
          <w:bCs w:val="0"/>
          <w:sz w:val="32"/>
          <w:szCs w:val="32"/>
          <w:highlight w:val="none"/>
          <w:vertAlign w:val="baseline"/>
          <w:lang w:val="en-US" w:eastAsia="zh-CN" w:bidi="ar-SA"/>
        </w:rPr>
      </w:pPr>
      <w:r>
        <w:rPr>
          <w:rFonts w:hint="eastAsia" w:ascii="仿宋_GB2312" w:hAnsi="宋体" w:eastAsia="仿宋_GB2312"/>
          <w:lang w:val="en-US" w:eastAsia="zh-CN"/>
        </w:rPr>
        <w:t>海南财金集团</w:t>
      </w:r>
      <w:r>
        <w:rPr>
          <w:rFonts w:hint="eastAsia" w:ascii="仿宋_GB2312" w:hAnsi="宋体" w:eastAsia="仿宋_GB2312" w:cs="仿宋"/>
          <w:b w:val="0"/>
          <w:bCs w:val="0"/>
          <w:sz w:val="32"/>
          <w:szCs w:val="32"/>
          <w:highlight w:val="none"/>
          <w:vertAlign w:val="baseline"/>
          <w:lang w:val="en-US" w:eastAsia="zh-CN" w:bidi="ar-SA"/>
        </w:rPr>
        <w:t>定位为省政府国有金融资本投资管理公司。围绕自贸港发展需求，初期已完成对自贸港建设基金</w:t>
      </w:r>
      <w:r>
        <w:rPr>
          <w:rFonts w:hint="eastAsia" w:ascii="仿宋_GB2312" w:hAnsi="宋体" w:eastAsia="仿宋_GB2312" w:cs="仿宋"/>
          <w:b w:val="0"/>
          <w:bCs w:val="0"/>
          <w:sz w:val="32"/>
          <w:szCs w:val="32"/>
          <w:vertAlign w:val="baseline"/>
          <w:lang w:val="en-US" w:eastAsia="zh-CN" w:bidi="ar-SA"/>
        </w:rPr>
        <w:t>及创新基金</w:t>
      </w:r>
      <w:r>
        <w:rPr>
          <w:rFonts w:hint="eastAsia" w:ascii="仿宋_GB2312" w:hAnsi="宋体" w:eastAsia="仿宋_GB2312" w:cs="仿宋"/>
          <w:b w:val="0"/>
          <w:bCs w:val="0"/>
          <w:sz w:val="32"/>
          <w:szCs w:val="32"/>
          <w:highlight w:val="none"/>
          <w:vertAlign w:val="baseline"/>
          <w:lang w:val="en-US" w:eastAsia="zh-CN" w:bidi="ar-SA"/>
        </w:rPr>
        <w:t>的出资设立，</w:t>
      </w:r>
      <w:r>
        <w:rPr>
          <w:rFonts w:hint="eastAsia" w:ascii="仿宋_GB2312" w:hAnsi="宋体" w:eastAsia="仿宋_GB2312" w:cs="仿宋"/>
          <w:b w:val="0"/>
          <w:bCs w:val="0"/>
          <w:sz w:val="32"/>
          <w:szCs w:val="32"/>
          <w:vertAlign w:val="baseline"/>
          <w:lang w:val="en-US" w:eastAsia="zh-CN" w:bidi="ar-SA"/>
        </w:rPr>
        <w:t>全力支持构建具有海南特色和优势的现代产业体系。</w:t>
      </w:r>
      <w:r>
        <w:rPr>
          <w:rFonts w:hint="eastAsia" w:ascii="仿宋_GB2312" w:hAnsi="宋体" w:eastAsia="仿宋_GB2312" w:cs="仿宋"/>
          <w:b w:val="0"/>
          <w:bCs w:val="0"/>
          <w:sz w:val="32"/>
          <w:szCs w:val="32"/>
          <w:highlight w:val="none"/>
          <w:vertAlign w:val="baseline"/>
          <w:lang w:val="en-US" w:eastAsia="zh-CN" w:bidi="ar-SA"/>
        </w:rPr>
        <w:t>同时，以股权投资管理为抓手，以金融服务创新为引擎，致力于将集团打造为集政府投资基金管理、金融股权投资和金融创新服务于一体的综合性平台。</w:t>
      </w:r>
      <w:r>
        <w:rPr>
          <w:rFonts w:hint="eastAsia" w:ascii="仿宋_GB2312" w:hAnsi="宋体" w:eastAsia="仿宋_GB2312"/>
          <w:lang w:val="en-US" w:eastAsia="zh-CN"/>
        </w:rPr>
        <w:t>海南财金</w:t>
      </w:r>
      <w:r>
        <w:rPr>
          <w:rFonts w:hint="eastAsia" w:ascii="仿宋_GB2312" w:hAnsi="仿宋_GB2312" w:eastAsia="仿宋_GB2312" w:cs="仿宋_GB2312"/>
          <w:b w:val="0"/>
          <w:bCs w:val="0"/>
          <w:color w:val="auto"/>
          <w:sz w:val="32"/>
          <w:szCs w:val="32"/>
          <w:highlight w:val="none"/>
          <w:lang w:val="en-US" w:eastAsia="zh-CN"/>
        </w:rPr>
        <w:t>集团现为海南农商行第一大股东、登记结算公司第一大股东，且在</w:t>
      </w:r>
      <w:r>
        <w:rPr>
          <w:rFonts w:hint="eastAsia" w:ascii="仿宋_GB2312" w:hAnsi="仿宋_GB2312" w:eastAsia="仿宋_GB2312" w:cs="仿宋_GB2312"/>
          <w:b w:val="0"/>
          <w:bCs/>
          <w:kern w:val="0"/>
          <w:sz w:val="32"/>
          <w:szCs w:val="32"/>
          <w:highlight w:val="none"/>
          <w:lang w:val="en-US" w:eastAsia="zh-CN"/>
        </w:rPr>
        <w:t>金融创新板块新设数金公司并承接划入的金财公司。</w:t>
      </w:r>
    </w:p>
    <w:p w14:paraId="4B9A8B11">
      <w:pPr>
        <w:pageBreakBefore w:val="0"/>
        <w:widowControl w:val="0"/>
        <w:numPr>
          <w:ilvl w:val="0"/>
          <w:numId w:val="18"/>
        </w:numPr>
        <w:tabs>
          <w:tab w:val="left" w:pos="142"/>
        </w:tabs>
        <w:kinsoku/>
        <w:overflowPunct/>
        <w:topLinePunct w:val="0"/>
        <w:autoSpaceDE/>
        <w:autoSpaceDN/>
        <w:bidi w:val="0"/>
        <w:spacing w:after="0" w:line="578" w:lineRule="exact"/>
        <w:ind w:left="794" w:leftChars="0" w:hanging="114"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基金</w:t>
      </w:r>
      <w:r>
        <w:rPr>
          <w:rFonts w:hint="eastAsia" w:ascii="黑体" w:hAnsi="黑体" w:eastAsia="黑体" w:cs="黑体"/>
          <w:sz w:val="32"/>
          <w:szCs w:val="32"/>
          <w:lang w:val="en-US" w:eastAsia="zh-CN"/>
        </w:rPr>
        <w:t>投资类业务</w:t>
      </w:r>
    </w:p>
    <w:p w14:paraId="7FA5BDB1">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after="0" w:line="578" w:lineRule="exact"/>
        <w:ind w:firstLine="640" w:firstLineChars="20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基金投资类业务主要围绕两只省级政府投资基金母基金展开，其中自贸港建设基金重点</w:t>
      </w:r>
      <w:r>
        <w:rPr>
          <w:rFonts w:hint="default" w:ascii="仿宋_GB2312" w:hAnsi="宋体" w:eastAsia="仿宋_GB2312"/>
          <w:lang w:val="en-US" w:eastAsia="zh-CN"/>
        </w:rPr>
        <w:t>支持</w:t>
      </w:r>
      <w:r>
        <w:rPr>
          <w:rFonts w:hint="eastAsia" w:ascii="仿宋_GB2312" w:hAnsi="宋体" w:eastAsia="仿宋_GB2312"/>
          <w:lang w:val="en-US" w:eastAsia="zh-CN"/>
        </w:rPr>
        <w:t>标志性、引领性项目的招引；创新基金</w:t>
      </w:r>
      <w:r>
        <w:rPr>
          <w:rFonts w:hint="default" w:ascii="仿宋_GB2312" w:hAnsi="宋体" w:eastAsia="仿宋_GB2312"/>
          <w:lang w:val="en-US" w:eastAsia="zh-CN"/>
        </w:rPr>
        <w:t>主要</w:t>
      </w:r>
      <w:r>
        <w:rPr>
          <w:rFonts w:hint="eastAsia" w:ascii="仿宋_GB2312" w:hAnsi="宋体" w:eastAsia="仿宋_GB2312"/>
          <w:lang w:val="en-US" w:eastAsia="zh-CN"/>
        </w:rPr>
        <w:t>投资支持种子期、初创期创业企业发展。两只基金原则上采用“母-子基金”投资方式运作，通过与社会资本合作设立子基金，支持自贸港产业发展。两者互相补充，合力覆盖企业发展的全生命周期。</w:t>
      </w:r>
    </w:p>
    <w:p w14:paraId="5E003DA6">
      <w:pPr>
        <w:widowControl w:val="0"/>
        <w:numPr>
          <w:ilvl w:val="0"/>
          <w:numId w:val="0"/>
        </w:numPr>
        <w:tabs>
          <w:tab w:val="left" w:pos="142"/>
        </w:tabs>
        <w:spacing w:line="578" w:lineRule="exact"/>
        <w:ind w:firstLine="640"/>
        <w:jc w:val="both"/>
        <w:rPr>
          <w:rFonts w:hint="eastAsia"/>
          <w:lang w:val="en-US" w:eastAsia="zh-CN"/>
        </w:rPr>
      </w:pPr>
      <w:r>
        <w:rPr>
          <w:rFonts w:hint="eastAsia" w:ascii="仿宋_GB2312" w:hAnsi="宋体" w:eastAsia="仿宋_GB2312"/>
          <w:lang w:val="en-US" w:eastAsia="zh-CN"/>
        </w:rPr>
        <w:t>未来，海南财金集团将积极</w:t>
      </w:r>
      <w:r>
        <w:rPr>
          <w:rFonts w:hint="default" w:ascii="仿宋_GB2312" w:hAnsi="宋体" w:eastAsia="仿宋_GB2312"/>
          <w:lang w:val="en-US" w:eastAsia="zh-CN"/>
        </w:rPr>
        <w:t>探索</w:t>
      </w:r>
      <w:r>
        <w:rPr>
          <w:rFonts w:hint="eastAsia" w:ascii="仿宋_GB2312" w:hAnsi="宋体" w:eastAsia="仿宋_GB2312"/>
          <w:lang w:val="en-US" w:eastAsia="zh-CN"/>
        </w:rPr>
        <w:t>与境外投资机构合作设立QFLP、QDLP等涉外基金，支持自贸港更高水平对外开放。</w:t>
      </w:r>
    </w:p>
    <w:p w14:paraId="46D5AC27">
      <w:pPr>
        <w:pageBreakBefore w:val="0"/>
        <w:widowControl w:val="0"/>
        <w:numPr>
          <w:ilvl w:val="0"/>
          <w:numId w:val="18"/>
        </w:numPr>
        <w:tabs>
          <w:tab w:val="left" w:pos="142"/>
        </w:tabs>
        <w:kinsoku/>
        <w:overflowPunct/>
        <w:topLinePunct w:val="0"/>
        <w:autoSpaceDE/>
        <w:autoSpaceDN/>
        <w:bidi w:val="0"/>
        <w:spacing w:after="0" w:line="578" w:lineRule="exact"/>
        <w:ind w:left="794" w:leftChars="0" w:hanging="114"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金融股权投资类业务</w:t>
      </w:r>
    </w:p>
    <w:p w14:paraId="302ADB99">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after="0" w:line="578" w:lineRule="exact"/>
        <w:ind w:firstLine="640" w:firstLineChars="20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金融股权投资类业务主要通过控股或参股各类金融企业，开展专业化国有股权管理，优化国有金融资本布局、提升国有金融资本规模与实力。同时推动补齐金融要素短板，健全多层次金融服务体系</w:t>
      </w:r>
      <w:r>
        <w:rPr>
          <w:rFonts w:hint="eastAsia" w:ascii="仿宋_GB2312" w:hAnsi="仿宋_GB2312" w:eastAsia="仿宋_GB2312" w:cs="仿宋_GB2312"/>
          <w:b w:val="0"/>
          <w:bCs w:val="0"/>
          <w:color w:val="auto"/>
          <w:sz w:val="32"/>
          <w:szCs w:val="32"/>
          <w:highlight w:val="none"/>
          <w:lang w:val="en-US" w:eastAsia="zh-CN"/>
        </w:rPr>
        <w:t>，做大做强国有金融资本，增强金融业综合竞争力及风险防范能力。</w:t>
      </w:r>
      <w:r>
        <w:rPr>
          <w:rFonts w:hint="eastAsia" w:ascii="仿宋_GB2312" w:hAnsi="宋体" w:eastAsia="仿宋_GB2312"/>
          <w:lang w:val="en-US" w:eastAsia="zh-CN"/>
        </w:rPr>
        <w:t>作为依托财政出资的国有金融资本投资管理公司，集团将发挥财政金融政策协同联动效应，助力积极财政政策加力提效。</w:t>
      </w:r>
    </w:p>
    <w:p w14:paraId="50E0E092">
      <w:pPr>
        <w:pageBreakBefore w:val="0"/>
        <w:widowControl w:val="0"/>
        <w:numPr>
          <w:ilvl w:val="0"/>
          <w:numId w:val="18"/>
        </w:numPr>
        <w:tabs>
          <w:tab w:val="left" w:pos="142"/>
        </w:tabs>
        <w:kinsoku/>
        <w:overflowPunct/>
        <w:topLinePunct w:val="0"/>
        <w:autoSpaceDE/>
        <w:autoSpaceDN/>
        <w:bidi w:val="0"/>
        <w:spacing w:after="0" w:line="578" w:lineRule="exact"/>
        <w:ind w:left="794" w:leftChars="0" w:hanging="114"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债权投资</w:t>
      </w:r>
      <w:r>
        <w:rPr>
          <w:rFonts w:hint="eastAsia" w:ascii="黑体" w:hAnsi="黑体" w:eastAsia="黑体" w:cs="黑体"/>
          <w:sz w:val="32"/>
          <w:szCs w:val="32"/>
          <w:lang w:val="en-US" w:eastAsia="zh-CN"/>
        </w:rPr>
        <w:t>类</w:t>
      </w:r>
      <w:r>
        <w:rPr>
          <w:rFonts w:hint="eastAsia" w:ascii="黑体" w:hAnsi="黑体" w:eastAsia="黑体" w:cs="黑体"/>
          <w:sz w:val="32"/>
          <w:szCs w:val="32"/>
          <w:lang w:eastAsia="zh-CN"/>
        </w:rPr>
        <w:t>、直接投资</w:t>
      </w:r>
      <w:r>
        <w:rPr>
          <w:rFonts w:hint="eastAsia" w:ascii="黑体" w:hAnsi="黑体" w:eastAsia="黑体" w:cs="黑体"/>
          <w:sz w:val="32"/>
          <w:szCs w:val="32"/>
          <w:lang w:val="en-US" w:eastAsia="zh-CN"/>
        </w:rPr>
        <w:t>类</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兼并重组类业务</w:t>
      </w:r>
    </w:p>
    <w:p w14:paraId="3B76A522">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after="0" w:line="578" w:lineRule="exact"/>
        <w:ind w:firstLine="640" w:firstLineChars="20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债权投资类业务主要围绕特殊资产投资、金融市场投资等投资业务开展，投资类型包括城市更新建设、基础设施投资、Pre-REITs/REITs、公募债/私募债、股权质押债权、应急转贷资金支持等相关投资项目。</w:t>
      </w:r>
    </w:p>
    <w:p w14:paraId="36383F11">
      <w:pPr>
        <w:pageBreakBefore w:val="0"/>
        <w:widowControl w:val="0"/>
        <w:numPr>
          <w:ilvl w:val="0"/>
          <w:numId w:val="0"/>
        </w:numPr>
        <w:tabs>
          <w:tab w:val="left" w:pos="142"/>
        </w:tabs>
        <w:kinsoku/>
        <w:overflowPunct/>
        <w:topLinePunct w:val="0"/>
        <w:autoSpaceDE/>
        <w:autoSpaceDN/>
        <w:bidi w:val="0"/>
        <w:spacing w:after="0" w:line="578"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仿宋_GB2312" w:hAnsi="宋体" w:eastAsia="仿宋_GB2312"/>
          <w:lang w:val="en-US" w:eastAsia="zh-CN"/>
        </w:rPr>
        <w:t>直接投资类业务主要以自有资金或基金产品参与投资项目，投资方向包括一级资本市场投资、Pre-IPO与基石投资者投资、上市公司定增等项目。</w:t>
      </w:r>
    </w:p>
    <w:p w14:paraId="3F2F7640">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after="0" w:line="578" w:lineRule="exact"/>
        <w:ind w:firstLine="640" w:firstLineChars="200"/>
        <w:jc w:val="both"/>
        <w:textAlignment w:val="auto"/>
        <w:rPr>
          <w:rFonts w:hint="eastAsia" w:ascii="仿宋_GB2312" w:hAnsi="宋体" w:eastAsia="仿宋_GB2312"/>
          <w:lang w:val="en-US" w:eastAsia="zh-CN"/>
        </w:rPr>
      </w:pPr>
      <w:r>
        <w:rPr>
          <w:rFonts w:hint="eastAsia" w:ascii="仿宋_GB2312" w:hAnsi="宋体" w:eastAsia="仿宋_GB2312"/>
          <w:lang w:val="en-US" w:eastAsia="zh-CN"/>
        </w:rPr>
        <w:t>兼并重组类业务主要围绕海南省内上市公司，开展有关上市公司债务重整、上市公司并购重组等相关投资业务，并择机收购优质省外上市公司，实现资源导入与业务协同。</w:t>
      </w:r>
    </w:p>
    <w:p w14:paraId="2F0E28B9">
      <w:pPr>
        <w:pageBreakBefore w:val="0"/>
        <w:widowControl w:val="0"/>
        <w:numPr>
          <w:ilvl w:val="0"/>
          <w:numId w:val="18"/>
        </w:numPr>
        <w:tabs>
          <w:tab w:val="left" w:pos="142"/>
        </w:tabs>
        <w:kinsoku/>
        <w:overflowPunct/>
        <w:topLinePunct w:val="0"/>
        <w:autoSpaceDE/>
        <w:autoSpaceDN/>
        <w:bidi w:val="0"/>
        <w:spacing w:after="0" w:line="578" w:lineRule="exact"/>
        <w:ind w:left="794" w:leftChars="0" w:hanging="114"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涉外业务类业务</w:t>
      </w:r>
    </w:p>
    <w:p w14:paraId="05EABB33">
      <w:pPr>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after="0" w:line="578" w:lineRule="exact"/>
        <w:ind w:firstLine="640" w:firstLineChars="200"/>
        <w:jc w:val="both"/>
        <w:textAlignment w:val="auto"/>
        <w:rPr>
          <w:rFonts w:hint="eastAsia" w:ascii="仿宋_GB2312" w:hAnsi="宋体" w:eastAsia="仿宋_GB2312"/>
          <w:lang w:val="en-US" w:eastAsia="zh-CN"/>
        </w:rPr>
      </w:pPr>
      <w:r>
        <w:rPr>
          <w:rFonts w:hint="eastAsia" w:ascii="仿宋_GB2312" w:hAnsi="宋体" w:eastAsia="仿宋_GB2312"/>
          <w:highlight w:val="none"/>
          <w:lang w:val="en-US" w:eastAsia="zh-CN"/>
        </w:rPr>
        <w:t>海南财金集团正在积极</w:t>
      </w:r>
      <w:r>
        <w:rPr>
          <w:rFonts w:hint="default" w:ascii="仿宋_GB2312" w:hAnsi="宋体" w:eastAsia="仿宋_GB2312"/>
          <w:highlight w:val="none"/>
          <w:lang w:val="en-US" w:eastAsia="zh-CN"/>
        </w:rPr>
        <w:t>探索</w:t>
      </w:r>
      <w:r>
        <w:rPr>
          <w:rFonts w:hint="eastAsia" w:ascii="仿宋_GB2312" w:hAnsi="宋体" w:eastAsia="仿宋_GB2312"/>
          <w:highlight w:val="none"/>
          <w:lang w:val="en-US" w:eastAsia="zh-CN"/>
        </w:rPr>
        <w:t>以下涉外业务：一是在中国香港、新加坡等境外地区设立投资平台，构建国际化投资网络，助力对接全球资源与市场；二是对中国香港、东南亚、欧美等境外地区的项目开展直接投资，覆盖多区域、多领域的优质投资机会；三是积极推动与中东、东南亚等地区的境外机构相关合作，拓展国际合作的广度与深度；四是上述涉外业务范围之外的其他国际业务布局与探索。</w:t>
      </w:r>
    </w:p>
    <w:p w14:paraId="5E86D493">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130979-CCBD-4FA5-B2D7-071F045A92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0DD2A8C-A58E-463E-B4FB-B58634CAB1B3}"/>
  </w:font>
  <w:font w:name="方正小标宋简体">
    <w:panose1 w:val="03000509000000000000"/>
    <w:charset w:val="86"/>
    <w:family w:val="auto"/>
    <w:pitch w:val="default"/>
    <w:sig w:usb0="00000001" w:usb1="080E0000" w:usb2="00000000" w:usb3="00000000" w:csb0="00040000" w:csb1="00000000"/>
    <w:embedRegular r:id="rId3" w:fontKey="{742C5F51-8708-4F68-8210-8B71BF8F705B}"/>
  </w:font>
  <w:font w:name="仿宋_GB2312">
    <w:panose1 w:val="02010609030101010101"/>
    <w:charset w:val="86"/>
    <w:family w:val="modern"/>
    <w:pitch w:val="default"/>
    <w:sig w:usb0="00000001" w:usb1="080E0000" w:usb2="00000000" w:usb3="00000000" w:csb0="00040000" w:csb1="00000000"/>
    <w:embedRegular r:id="rId4" w:fontKey="{208F5299-DFD7-4B46-B4D1-24ADF7082DB2}"/>
  </w:font>
  <w:font w:name="楷体">
    <w:panose1 w:val="02010609060101010101"/>
    <w:charset w:val="86"/>
    <w:family w:val="auto"/>
    <w:pitch w:val="default"/>
    <w:sig w:usb0="800002BF" w:usb1="38CF7CFA" w:usb2="00000016" w:usb3="00000000" w:csb0="00040001" w:csb1="00000000"/>
    <w:embedRegular r:id="rId5" w:fontKey="{98AFBECC-16AD-4A11-ACE0-78EF4ED1871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06F2">
    <w:pPr>
      <w:pStyle w:val="7"/>
      <w:ind w:firstLine="640"/>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F7785">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8F7785">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417790373"/>
    </w:sdtPr>
    <w:sdtEndPr>
      <w:rPr>
        <w:sz w:val="28"/>
      </w:rPr>
    </w:sdtEndPr>
    <w:sdtContent>
      <w:p w14:paraId="2E30FEFF">
        <w:pPr>
          <w:pStyle w:val="7"/>
          <w:ind w:firstLine="560"/>
          <w:rPr>
            <w:sz w:val="28"/>
          </w:rPr>
        </w:pPr>
        <w:r>
          <w:rPr>
            <w:sz w:val="28"/>
          </w:rPr>
          <w:fldChar w:fldCharType="begin"/>
        </w:r>
        <w:r>
          <w:rPr>
            <w:sz w:val="28"/>
          </w:rPr>
          <w:instrText xml:space="preserve"> PAGE   \* MERGEFORMAT </w:instrText>
        </w:r>
        <w:r>
          <w:rPr>
            <w:sz w:val="28"/>
          </w:rPr>
          <w:fldChar w:fldCharType="separate"/>
        </w:r>
        <w:r>
          <w:rPr>
            <w:sz w:val="28"/>
          </w:rPr>
          <w:t>- 6 -</w:t>
        </w:r>
        <w:r>
          <w:rPr>
            <w:sz w:val="28"/>
          </w:rPr>
          <w:fldChar w:fldCharType="end"/>
        </w:r>
      </w:p>
    </w:sdtContent>
  </w:sdt>
  <w:p w14:paraId="62A58AFB">
    <w:pPr>
      <w:pStyle w:val="7"/>
      <w:ind w:firstLine="560"/>
      <w:jc w:val="both"/>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D8AF">
    <w:pPr>
      <w:pStyle w:val="7"/>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7CB9">
    <w:pPr>
      <w:pStyle w:val="7"/>
      <w:ind w:left="0" w:leftChars="0" w:firstLine="0" w:firstLineChars="0"/>
      <w:jc w:val="center"/>
    </w:pPr>
    <w:r>
      <w:rPr>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90B8A">
                          <w:pPr>
                            <w:pStyle w:val="7"/>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- 9 -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C90B8A">
                    <w:pPr>
                      <w:pStyle w:val="7"/>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- 9 -</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A00C">
    <w:pPr>
      <w:pStyle w:val="8"/>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EFF4">
    <w:pPr>
      <w:pStyle w:val="8"/>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C1738">
    <w:pPr>
      <w:pStyle w:val="8"/>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A531">
    <w:pPr>
      <w:pStyle w:val="8"/>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1A0DD"/>
    <w:multiLevelType w:val="singleLevel"/>
    <w:tmpl w:val="81C1A0DD"/>
    <w:lvl w:ilvl="0" w:tentative="0">
      <w:start w:val="1"/>
      <w:numFmt w:val="chineseCounting"/>
      <w:suff w:val="nothing"/>
      <w:lvlText w:val="（%1）"/>
      <w:lvlJc w:val="left"/>
      <w:pPr>
        <w:ind w:left="0" w:firstLine="420"/>
      </w:pPr>
      <w:rPr>
        <w:rFonts w:hint="eastAsia"/>
      </w:rPr>
    </w:lvl>
  </w:abstractNum>
  <w:abstractNum w:abstractNumId="1">
    <w:nsid w:val="88C1134E"/>
    <w:multiLevelType w:val="singleLevel"/>
    <w:tmpl w:val="88C1134E"/>
    <w:lvl w:ilvl="0" w:tentative="0">
      <w:start w:val="1"/>
      <w:numFmt w:val="chineseCounting"/>
      <w:suff w:val="nothing"/>
      <w:lvlText w:val="（%1）"/>
      <w:lvlJc w:val="left"/>
      <w:pPr>
        <w:ind w:left="0" w:firstLine="420"/>
      </w:pPr>
      <w:rPr>
        <w:rFonts w:hint="eastAsia"/>
      </w:rPr>
    </w:lvl>
  </w:abstractNum>
  <w:abstractNum w:abstractNumId="2">
    <w:nsid w:val="9840FABF"/>
    <w:multiLevelType w:val="singleLevel"/>
    <w:tmpl w:val="9840FABF"/>
    <w:lvl w:ilvl="0" w:tentative="0">
      <w:start w:val="1"/>
      <w:numFmt w:val="chineseCounting"/>
      <w:suff w:val="nothing"/>
      <w:lvlText w:val="（%1）"/>
      <w:lvlJc w:val="left"/>
      <w:pPr>
        <w:ind w:left="0" w:firstLine="420"/>
      </w:pPr>
      <w:rPr>
        <w:rFonts w:hint="eastAsia" w:eastAsia="楷体"/>
      </w:rPr>
    </w:lvl>
  </w:abstractNum>
  <w:abstractNum w:abstractNumId="3">
    <w:nsid w:val="B2531290"/>
    <w:multiLevelType w:val="singleLevel"/>
    <w:tmpl w:val="B2531290"/>
    <w:lvl w:ilvl="0" w:tentative="0">
      <w:start w:val="1"/>
      <w:numFmt w:val="chineseCounting"/>
      <w:suff w:val="nothing"/>
      <w:lvlText w:val="%1、"/>
      <w:lvlJc w:val="left"/>
      <w:rPr>
        <w:rFonts w:hint="eastAsia"/>
      </w:rPr>
    </w:lvl>
  </w:abstractNum>
  <w:abstractNum w:abstractNumId="4">
    <w:nsid w:val="D4533D2F"/>
    <w:multiLevelType w:val="singleLevel"/>
    <w:tmpl w:val="D4533D2F"/>
    <w:lvl w:ilvl="0" w:tentative="0">
      <w:start w:val="1"/>
      <w:numFmt w:val="chineseCounting"/>
      <w:suff w:val="nothing"/>
      <w:lvlText w:val="（%1）"/>
      <w:lvlJc w:val="left"/>
      <w:rPr>
        <w:rFonts w:hint="eastAsia"/>
        <w:b w:val="0"/>
        <w:bCs w:val="0"/>
      </w:rPr>
    </w:lvl>
  </w:abstractNum>
  <w:abstractNum w:abstractNumId="5">
    <w:nsid w:val="D688AF4F"/>
    <w:multiLevelType w:val="singleLevel"/>
    <w:tmpl w:val="D688AF4F"/>
    <w:lvl w:ilvl="0" w:tentative="0">
      <w:start w:val="1"/>
      <w:numFmt w:val="chineseCounting"/>
      <w:suff w:val="nothing"/>
      <w:lvlText w:val="%1、"/>
      <w:lvlJc w:val="left"/>
      <w:rPr>
        <w:rFonts w:hint="eastAsia"/>
      </w:rPr>
    </w:lvl>
  </w:abstractNum>
  <w:abstractNum w:abstractNumId="6">
    <w:nsid w:val="DAC5D39A"/>
    <w:multiLevelType w:val="singleLevel"/>
    <w:tmpl w:val="DAC5D39A"/>
    <w:lvl w:ilvl="0" w:tentative="0">
      <w:start w:val="1"/>
      <w:numFmt w:val="chineseCounting"/>
      <w:suff w:val="nothing"/>
      <w:lvlText w:val="（%1）"/>
      <w:lvlJc w:val="left"/>
      <w:pPr>
        <w:ind w:left="0" w:firstLine="420"/>
      </w:pPr>
      <w:rPr>
        <w:rFonts w:hint="eastAsia" w:eastAsia="楷体"/>
      </w:rPr>
    </w:lvl>
  </w:abstractNum>
  <w:abstractNum w:abstractNumId="7">
    <w:nsid w:val="DF83633B"/>
    <w:multiLevelType w:val="singleLevel"/>
    <w:tmpl w:val="DF83633B"/>
    <w:lvl w:ilvl="0" w:tentative="0">
      <w:start w:val="1"/>
      <w:numFmt w:val="chineseCounting"/>
      <w:suff w:val="nothing"/>
      <w:lvlText w:val="（%1）"/>
      <w:lvlJc w:val="left"/>
      <w:pPr>
        <w:ind w:left="0" w:firstLine="420"/>
      </w:pPr>
      <w:rPr>
        <w:rFonts w:hint="eastAsia"/>
      </w:rPr>
    </w:lvl>
  </w:abstractNum>
  <w:abstractNum w:abstractNumId="8">
    <w:nsid w:val="F2DDBAE1"/>
    <w:multiLevelType w:val="singleLevel"/>
    <w:tmpl w:val="F2DDBAE1"/>
    <w:lvl w:ilvl="0" w:tentative="0">
      <w:start w:val="1"/>
      <w:numFmt w:val="chineseCounting"/>
      <w:suff w:val="nothing"/>
      <w:lvlText w:val="%1、"/>
      <w:lvlJc w:val="left"/>
      <w:rPr>
        <w:rFonts w:hint="eastAsia"/>
      </w:rPr>
    </w:lvl>
  </w:abstractNum>
  <w:abstractNum w:abstractNumId="9">
    <w:nsid w:val="FB50E7A7"/>
    <w:multiLevelType w:val="singleLevel"/>
    <w:tmpl w:val="FB50E7A7"/>
    <w:lvl w:ilvl="0" w:tentative="0">
      <w:start w:val="1"/>
      <w:numFmt w:val="chineseCounting"/>
      <w:suff w:val="nothing"/>
      <w:lvlText w:val="%1、"/>
      <w:lvlJc w:val="left"/>
      <w:pPr>
        <w:ind w:left="794" w:leftChars="0" w:hanging="114" w:firstLineChars="0"/>
      </w:pPr>
      <w:rPr>
        <w:rFonts w:hint="eastAsia" w:ascii="黑体" w:hAnsi="黑体" w:eastAsia="黑体" w:cs="黑体"/>
      </w:rPr>
    </w:lvl>
  </w:abstractNum>
  <w:abstractNum w:abstractNumId="10">
    <w:nsid w:val="1CFE61D8"/>
    <w:multiLevelType w:val="singleLevel"/>
    <w:tmpl w:val="1CFE61D8"/>
    <w:lvl w:ilvl="0" w:tentative="0">
      <w:start w:val="1"/>
      <w:numFmt w:val="chineseCounting"/>
      <w:suff w:val="space"/>
      <w:lvlText w:val="第%1部分"/>
      <w:lvlJc w:val="left"/>
      <w:rPr>
        <w:rFonts w:hint="eastAsia"/>
      </w:rPr>
    </w:lvl>
  </w:abstractNum>
  <w:abstractNum w:abstractNumId="11">
    <w:nsid w:val="2F406423"/>
    <w:multiLevelType w:val="multilevel"/>
    <w:tmpl w:val="2F406423"/>
    <w:lvl w:ilvl="0" w:tentative="0">
      <w:start w:val="1"/>
      <w:numFmt w:val="chineseCounting"/>
      <w:suff w:val="nothing"/>
      <w:lvlText w:val="（%1）"/>
      <w:lvlJc w:val="left"/>
      <w:pPr>
        <w:ind w:left="0" w:firstLine="420"/>
      </w:pPr>
      <w:rPr>
        <w:rFonts w:hint="eastAsia" w:eastAsia="楷体"/>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2">
    <w:nsid w:val="303CA73C"/>
    <w:multiLevelType w:val="singleLevel"/>
    <w:tmpl w:val="303CA73C"/>
    <w:lvl w:ilvl="0" w:tentative="0">
      <w:start w:val="1"/>
      <w:numFmt w:val="chineseCounting"/>
      <w:suff w:val="nothing"/>
      <w:lvlText w:val="（%1）"/>
      <w:lvlJc w:val="left"/>
      <w:pPr>
        <w:ind w:left="0" w:firstLine="420"/>
      </w:pPr>
      <w:rPr>
        <w:rFonts w:hint="eastAsia" w:eastAsia="楷体"/>
      </w:rPr>
    </w:lvl>
  </w:abstractNum>
  <w:abstractNum w:abstractNumId="13">
    <w:nsid w:val="30793E53"/>
    <w:multiLevelType w:val="singleLevel"/>
    <w:tmpl w:val="30793E53"/>
    <w:lvl w:ilvl="0" w:tentative="0">
      <w:start w:val="1"/>
      <w:numFmt w:val="chineseCounting"/>
      <w:suff w:val="nothing"/>
      <w:lvlText w:val="（%1）"/>
      <w:lvlJc w:val="left"/>
      <w:pPr>
        <w:ind w:left="0" w:firstLine="420"/>
      </w:pPr>
      <w:rPr>
        <w:rFonts w:hint="eastAsia" w:eastAsia="楷体"/>
      </w:rPr>
    </w:lvl>
  </w:abstractNum>
  <w:abstractNum w:abstractNumId="14">
    <w:nsid w:val="48A8E98B"/>
    <w:multiLevelType w:val="singleLevel"/>
    <w:tmpl w:val="48A8E98B"/>
    <w:lvl w:ilvl="0" w:tentative="0">
      <w:start w:val="1"/>
      <w:numFmt w:val="chineseCounting"/>
      <w:suff w:val="nothing"/>
      <w:lvlText w:val="（%1）"/>
      <w:lvlJc w:val="left"/>
      <w:pPr>
        <w:ind w:left="0" w:firstLine="420"/>
      </w:pPr>
      <w:rPr>
        <w:rFonts w:hint="eastAsia" w:eastAsia="楷体"/>
      </w:rPr>
    </w:lvl>
  </w:abstractNum>
  <w:abstractNum w:abstractNumId="15">
    <w:nsid w:val="74D89812"/>
    <w:multiLevelType w:val="multilevel"/>
    <w:tmpl w:val="74D8981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763995B5"/>
    <w:multiLevelType w:val="singleLevel"/>
    <w:tmpl w:val="763995B5"/>
    <w:lvl w:ilvl="0" w:tentative="0">
      <w:start w:val="1"/>
      <w:numFmt w:val="chineseCounting"/>
      <w:suff w:val="nothing"/>
      <w:lvlText w:val="（%1）"/>
      <w:lvlJc w:val="left"/>
      <w:pPr>
        <w:ind w:left="0" w:firstLine="420"/>
      </w:pPr>
      <w:rPr>
        <w:rFonts w:hint="eastAsia" w:eastAsia="楷体"/>
      </w:rPr>
    </w:lvl>
  </w:abstractNum>
  <w:abstractNum w:abstractNumId="17">
    <w:nsid w:val="7831D9ED"/>
    <w:multiLevelType w:val="singleLevel"/>
    <w:tmpl w:val="7831D9ED"/>
    <w:lvl w:ilvl="0" w:tentative="0">
      <w:start w:val="1"/>
      <w:numFmt w:val="chineseCounting"/>
      <w:suff w:val="nothing"/>
      <w:lvlText w:val="（%1）"/>
      <w:lvlJc w:val="left"/>
      <w:rPr>
        <w:rFonts w:hint="eastAsia"/>
      </w:rPr>
    </w:lvl>
  </w:abstractNum>
  <w:num w:numId="1">
    <w:abstractNumId w:val="15"/>
  </w:num>
  <w:num w:numId="2">
    <w:abstractNumId w:val="8"/>
  </w:num>
  <w:num w:numId="3">
    <w:abstractNumId w:val="11"/>
  </w:num>
  <w:num w:numId="4">
    <w:abstractNumId w:val="14"/>
  </w:num>
  <w:num w:numId="5">
    <w:abstractNumId w:val="3"/>
  </w:num>
  <w:num w:numId="6">
    <w:abstractNumId w:val="0"/>
  </w:num>
  <w:num w:numId="7">
    <w:abstractNumId w:val="4"/>
  </w:num>
  <w:num w:numId="8">
    <w:abstractNumId w:val="17"/>
  </w:num>
  <w:num w:numId="9">
    <w:abstractNumId w:val="5"/>
  </w:num>
  <w:num w:numId="10">
    <w:abstractNumId w:val="1"/>
  </w:num>
  <w:num w:numId="11">
    <w:abstractNumId w:val="6"/>
  </w:num>
  <w:num w:numId="12">
    <w:abstractNumId w:val="13"/>
  </w:num>
  <w:num w:numId="13">
    <w:abstractNumId w:val="12"/>
  </w:num>
  <w:num w:numId="14">
    <w:abstractNumId w:val="16"/>
  </w:num>
  <w:num w:numId="15">
    <w:abstractNumId w:val="7"/>
  </w:num>
  <w:num w:numId="16">
    <w:abstractNumId w:val="1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Y2U4MzU0NzI5YTNiNjk0NDUzYjI0MWRkNzhhZGIifQ=="/>
    <w:docVar w:name="KSO_WPS_MARK_KEY" w:val="ae5578e1-6201-4c14-8684-1e2d81201654"/>
  </w:docVars>
  <w:rsids>
    <w:rsidRoot w:val="00000000"/>
    <w:rsid w:val="011E0214"/>
    <w:rsid w:val="01A3073B"/>
    <w:rsid w:val="023F3639"/>
    <w:rsid w:val="02590841"/>
    <w:rsid w:val="03F61D12"/>
    <w:rsid w:val="041D0C30"/>
    <w:rsid w:val="046E5030"/>
    <w:rsid w:val="04C91812"/>
    <w:rsid w:val="0532605E"/>
    <w:rsid w:val="0639341C"/>
    <w:rsid w:val="065A320B"/>
    <w:rsid w:val="06AE50C2"/>
    <w:rsid w:val="0728596A"/>
    <w:rsid w:val="078B5EF9"/>
    <w:rsid w:val="07F707BE"/>
    <w:rsid w:val="0995410E"/>
    <w:rsid w:val="0A283ED3"/>
    <w:rsid w:val="0B186B99"/>
    <w:rsid w:val="0BF62368"/>
    <w:rsid w:val="0D246F57"/>
    <w:rsid w:val="0D7C07BE"/>
    <w:rsid w:val="0DFA5B87"/>
    <w:rsid w:val="0E393D4C"/>
    <w:rsid w:val="0E966C21"/>
    <w:rsid w:val="0EAC6E81"/>
    <w:rsid w:val="0ED84D6A"/>
    <w:rsid w:val="0F0A1E9E"/>
    <w:rsid w:val="0F2721A6"/>
    <w:rsid w:val="0FCE72CB"/>
    <w:rsid w:val="0FD909AF"/>
    <w:rsid w:val="10190E3A"/>
    <w:rsid w:val="10AF2C58"/>
    <w:rsid w:val="10F845FF"/>
    <w:rsid w:val="11207790"/>
    <w:rsid w:val="118440E5"/>
    <w:rsid w:val="11A93C63"/>
    <w:rsid w:val="120D5D21"/>
    <w:rsid w:val="1224169A"/>
    <w:rsid w:val="138A175B"/>
    <w:rsid w:val="13AA60B6"/>
    <w:rsid w:val="143366EE"/>
    <w:rsid w:val="14381704"/>
    <w:rsid w:val="145E0C1D"/>
    <w:rsid w:val="1503157B"/>
    <w:rsid w:val="165878EE"/>
    <w:rsid w:val="16745E26"/>
    <w:rsid w:val="16EB313B"/>
    <w:rsid w:val="176435AF"/>
    <w:rsid w:val="18117A72"/>
    <w:rsid w:val="19143FA0"/>
    <w:rsid w:val="197E6550"/>
    <w:rsid w:val="19EA6AAF"/>
    <w:rsid w:val="1A042C32"/>
    <w:rsid w:val="1B4560C7"/>
    <w:rsid w:val="1BAC280B"/>
    <w:rsid w:val="1BEB74FA"/>
    <w:rsid w:val="1C5860E9"/>
    <w:rsid w:val="1CF06F67"/>
    <w:rsid w:val="1D7E40DE"/>
    <w:rsid w:val="1DDD2441"/>
    <w:rsid w:val="1E1A3B08"/>
    <w:rsid w:val="1E35298D"/>
    <w:rsid w:val="1E426EBA"/>
    <w:rsid w:val="1E734B49"/>
    <w:rsid w:val="1EB3600A"/>
    <w:rsid w:val="1F8D2690"/>
    <w:rsid w:val="1FA53BA4"/>
    <w:rsid w:val="1FAE057F"/>
    <w:rsid w:val="204A2AEF"/>
    <w:rsid w:val="214967B1"/>
    <w:rsid w:val="21D00AB2"/>
    <w:rsid w:val="2227300A"/>
    <w:rsid w:val="22467649"/>
    <w:rsid w:val="230B3A9D"/>
    <w:rsid w:val="23146D1C"/>
    <w:rsid w:val="2362786D"/>
    <w:rsid w:val="23C2284B"/>
    <w:rsid w:val="23EC6A2A"/>
    <w:rsid w:val="245C47B5"/>
    <w:rsid w:val="25276E09"/>
    <w:rsid w:val="255B4D05"/>
    <w:rsid w:val="255F03FD"/>
    <w:rsid w:val="26CD6B38"/>
    <w:rsid w:val="274E75A1"/>
    <w:rsid w:val="27982424"/>
    <w:rsid w:val="286F6778"/>
    <w:rsid w:val="28DE2BC9"/>
    <w:rsid w:val="29324410"/>
    <w:rsid w:val="2A0707A2"/>
    <w:rsid w:val="2A0D122A"/>
    <w:rsid w:val="2A2535BF"/>
    <w:rsid w:val="2A4D10C0"/>
    <w:rsid w:val="2AA51E24"/>
    <w:rsid w:val="2AAA7137"/>
    <w:rsid w:val="2AB253C7"/>
    <w:rsid w:val="2BAF1ED3"/>
    <w:rsid w:val="2BB53D21"/>
    <w:rsid w:val="2C0A3FF7"/>
    <w:rsid w:val="2CA55717"/>
    <w:rsid w:val="2CC15549"/>
    <w:rsid w:val="2D885DEC"/>
    <w:rsid w:val="2DA74F8B"/>
    <w:rsid w:val="2DEF06E0"/>
    <w:rsid w:val="2E016D68"/>
    <w:rsid w:val="2E421B72"/>
    <w:rsid w:val="2E642546"/>
    <w:rsid w:val="2E97693F"/>
    <w:rsid w:val="2F1B0AFB"/>
    <w:rsid w:val="2F8C5ED4"/>
    <w:rsid w:val="307F3F9D"/>
    <w:rsid w:val="30D756F7"/>
    <w:rsid w:val="3196577D"/>
    <w:rsid w:val="32674CE9"/>
    <w:rsid w:val="329830F5"/>
    <w:rsid w:val="32F3398C"/>
    <w:rsid w:val="33491B2B"/>
    <w:rsid w:val="340842AA"/>
    <w:rsid w:val="34734DFE"/>
    <w:rsid w:val="347728E4"/>
    <w:rsid w:val="34A34CFD"/>
    <w:rsid w:val="354E03E2"/>
    <w:rsid w:val="35D963E6"/>
    <w:rsid w:val="363B355D"/>
    <w:rsid w:val="36DA532A"/>
    <w:rsid w:val="37284F6C"/>
    <w:rsid w:val="37380D99"/>
    <w:rsid w:val="378D6FA0"/>
    <w:rsid w:val="37D47092"/>
    <w:rsid w:val="3823268E"/>
    <w:rsid w:val="38B62526"/>
    <w:rsid w:val="38C1701F"/>
    <w:rsid w:val="3991161B"/>
    <w:rsid w:val="3A8D5837"/>
    <w:rsid w:val="3ACD1DA9"/>
    <w:rsid w:val="3AF70BD4"/>
    <w:rsid w:val="3B36794F"/>
    <w:rsid w:val="3B626C76"/>
    <w:rsid w:val="3B8E1539"/>
    <w:rsid w:val="3BFC27D5"/>
    <w:rsid w:val="3CFD489A"/>
    <w:rsid w:val="3D3E7D4C"/>
    <w:rsid w:val="3D745D72"/>
    <w:rsid w:val="3D8D3E1A"/>
    <w:rsid w:val="3E7E61F6"/>
    <w:rsid w:val="40B7508E"/>
    <w:rsid w:val="411F1D7A"/>
    <w:rsid w:val="412C1BBF"/>
    <w:rsid w:val="413B0711"/>
    <w:rsid w:val="43E837B0"/>
    <w:rsid w:val="44153AF2"/>
    <w:rsid w:val="44C85ABB"/>
    <w:rsid w:val="44D81A76"/>
    <w:rsid w:val="47136D96"/>
    <w:rsid w:val="48890B61"/>
    <w:rsid w:val="48C12F4D"/>
    <w:rsid w:val="49B51CB1"/>
    <w:rsid w:val="4AB10DA0"/>
    <w:rsid w:val="4B256055"/>
    <w:rsid w:val="4CAC7A71"/>
    <w:rsid w:val="4CD9638C"/>
    <w:rsid w:val="4D274F52"/>
    <w:rsid w:val="4DE1679A"/>
    <w:rsid w:val="4EEE25C2"/>
    <w:rsid w:val="510460CD"/>
    <w:rsid w:val="51245307"/>
    <w:rsid w:val="519A07DF"/>
    <w:rsid w:val="529421CD"/>
    <w:rsid w:val="548132AB"/>
    <w:rsid w:val="5554124B"/>
    <w:rsid w:val="578F58C0"/>
    <w:rsid w:val="57CA34A1"/>
    <w:rsid w:val="583077A8"/>
    <w:rsid w:val="58690F0C"/>
    <w:rsid w:val="588B53EB"/>
    <w:rsid w:val="59BE0D00"/>
    <w:rsid w:val="59C02DAD"/>
    <w:rsid w:val="5A4C7AA5"/>
    <w:rsid w:val="5A596CDD"/>
    <w:rsid w:val="5A81078E"/>
    <w:rsid w:val="5B1528AE"/>
    <w:rsid w:val="5B301722"/>
    <w:rsid w:val="5B6A2FD1"/>
    <w:rsid w:val="5BAA04B1"/>
    <w:rsid w:val="5BC40E1D"/>
    <w:rsid w:val="5BCB18C9"/>
    <w:rsid w:val="5BE10DB9"/>
    <w:rsid w:val="5C2E2250"/>
    <w:rsid w:val="5E0E058B"/>
    <w:rsid w:val="5E383930"/>
    <w:rsid w:val="606326E4"/>
    <w:rsid w:val="607E12CC"/>
    <w:rsid w:val="60A9459B"/>
    <w:rsid w:val="61972135"/>
    <w:rsid w:val="619A1BC9"/>
    <w:rsid w:val="63371229"/>
    <w:rsid w:val="636563C7"/>
    <w:rsid w:val="639669E5"/>
    <w:rsid w:val="63A67BCF"/>
    <w:rsid w:val="64887113"/>
    <w:rsid w:val="65B80DDC"/>
    <w:rsid w:val="66611474"/>
    <w:rsid w:val="66651756"/>
    <w:rsid w:val="668B7516"/>
    <w:rsid w:val="66FE4F15"/>
    <w:rsid w:val="67E1247B"/>
    <w:rsid w:val="68494436"/>
    <w:rsid w:val="684F2AAF"/>
    <w:rsid w:val="68974733"/>
    <w:rsid w:val="68BB5F76"/>
    <w:rsid w:val="68C14587"/>
    <w:rsid w:val="68CF4DBB"/>
    <w:rsid w:val="690E58E3"/>
    <w:rsid w:val="69383DA0"/>
    <w:rsid w:val="693D1A89"/>
    <w:rsid w:val="69D109A0"/>
    <w:rsid w:val="6A372C18"/>
    <w:rsid w:val="6ABF0193"/>
    <w:rsid w:val="6BD623FB"/>
    <w:rsid w:val="6D015F39"/>
    <w:rsid w:val="6DC17EF2"/>
    <w:rsid w:val="6DC91E3F"/>
    <w:rsid w:val="6DFB6195"/>
    <w:rsid w:val="6DFE3106"/>
    <w:rsid w:val="6E432EF7"/>
    <w:rsid w:val="6EA6036C"/>
    <w:rsid w:val="6ECB479D"/>
    <w:rsid w:val="6EF3447D"/>
    <w:rsid w:val="6F110EBD"/>
    <w:rsid w:val="703F36CC"/>
    <w:rsid w:val="70FB78FE"/>
    <w:rsid w:val="71107458"/>
    <w:rsid w:val="711C2B67"/>
    <w:rsid w:val="719C1736"/>
    <w:rsid w:val="71E137D3"/>
    <w:rsid w:val="72192D0E"/>
    <w:rsid w:val="7313141F"/>
    <w:rsid w:val="733C3537"/>
    <w:rsid w:val="745229A8"/>
    <w:rsid w:val="74BB4445"/>
    <w:rsid w:val="74C92ADB"/>
    <w:rsid w:val="75004B37"/>
    <w:rsid w:val="752C73EF"/>
    <w:rsid w:val="75502DDF"/>
    <w:rsid w:val="758E79CD"/>
    <w:rsid w:val="759E3B4B"/>
    <w:rsid w:val="75C27D20"/>
    <w:rsid w:val="77000835"/>
    <w:rsid w:val="772C579E"/>
    <w:rsid w:val="77DE7218"/>
    <w:rsid w:val="78376848"/>
    <w:rsid w:val="78BD02C7"/>
    <w:rsid w:val="79130CD4"/>
    <w:rsid w:val="79295E21"/>
    <w:rsid w:val="79C17D27"/>
    <w:rsid w:val="7A4319BA"/>
    <w:rsid w:val="7BED2D01"/>
    <w:rsid w:val="7C0A5AD5"/>
    <w:rsid w:val="7D064A1C"/>
    <w:rsid w:val="7DB3377D"/>
    <w:rsid w:val="7DC600E3"/>
    <w:rsid w:val="7DE07B80"/>
    <w:rsid w:val="7EB96173"/>
    <w:rsid w:val="7F8703D2"/>
    <w:rsid w:val="7F99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3">
    <w:name w:val="heading 1"/>
    <w:next w:val="1"/>
    <w:qFormat/>
    <w:uiPriority w:val="9"/>
    <w:pPr>
      <w:keepNext/>
      <w:keepLines/>
      <w:spacing w:after="160"/>
      <w:contextualSpacing/>
      <w:jc w:val="center"/>
      <w:outlineLvl w:val="0"/>
    </w:pPr>
    <w:rPr>
      <w:rFonts w:ascii="宋体" w:hAnsi="宋体" w:eastAsia="宋体" w:cstheme="majorBidi"/>
      <w:b/>
      <w:bCs/>
      <w:sz w:val="44"/>
      <w:szCs w:val="28"/>
      <w:lang w:val="en-GB" w:eastAsia="zh-CN" w:bidi="ar-SA"/>
    </w:rPr>
  </w:style>
  <w:style w:type="paragraph" w:styleId="4">
    <w:name w:val="heading 2"/>
    <w:basedOn w:val="1"/>
    <w:next w:val="1"/>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320"/>
        <w:tab w:val="right" w:pos="8640"/>
      </w:tabs>
    </w:pPr>
  </w:style>
  <w:style w:type="paragraph" w:styleId="8">
    <w:name w:val="header"/>
    <w:basedOn w:val="1"/>
    <w:unhideWhenUsed/>
    <w:qFormat/>
    <w:uiPriority w:val="99"/>
    <w:pPr>
      <w:tabs>
        <w:tab w:val="center" w:pos="4320"/>
        <w:tab w:val="right" w:pos="8640"/>
      </w:tabs>
    </w:pPr>
  </w:style>
  <w:style w:type="paragraph" w:styleId="9">
    <w:name w:val="Normal (Web)"/>
    <w:basedOn w:val="1"/>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spacing w:after="120"/>
      <w:ind w:left="720"/>
      <w:contextualSpacing/>
    </w:pPr>
    <w:rPr>
      <w:rFonts w:asciiTheme="minorHAnsi" w:hAnsiTheme="minorHAnsi" w:eastAsiaTheme="minorEastAsia" w:cstheme="minorBidi"/>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3473</Words>
  <Characters>3509</Characters>
  <Lines>0</Lines>
  <Paragraphs>0</Paragraphs>
  <TotalTime>20</TotalTime>
  <ScaleCrop>false</ScaleCrop>
  <LinksUpToDate>false</LinksUpToDate>
  <CharactersWithSpaces>3509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2022-10-28T09:16:00Z</dcterms:created>
  <dc:creator>陈俏莉</dc:creator>
  <cp:lastModifiedBy>陈悦雯</cp:lastModifiedBy>
  <cp:lastPrinted>2025-07-10T08:15:00Z</cp:lastPrinted>
  <dcterms:modified xsi:type="dcterms:W3CDTF">2025-07-29T00:45:53Z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F27FBCFB73614F1CAB45B2A39ADB11E7_13</vt:lpwstr>
  </property>
  <property fmtid="{D5CDD505-2E9C-101B-9397-08002B2CF9AE}" pid="4" name="KSOTemplateDocerSaveRecord">
    <vt:lpwstr>eyJoZGlkIjoiYjU2Y2YxMjhlZTNmMTdiNTc0ZTcxNTYyOWVmYjBiNzYiLCJ1c2VySWQiOiIxNjQ0NTM3NTE4In0=</vt:lpwstr>
  </property>
</Properties>
</file>