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rPr>
          <w:rFonts w:hint="eastAsia" w:ascii="仿宋_GB2312" w:hAnsi="宋体" w:eastAsia="仿宋_GB2312" w:cs="仿宋"/>
          <w:b w:val="0"/>
          <w:bCs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宋体" w:eastAsia="仿宋_GB2312" w:cs="仿宋"/>
          <w:b w:val="0"/>
          <w:bCs w:val="0"/>
          <w:sz w:val="32"/>
          <w:szCs w:val="32"/>
          <w:highlight w:val="none"/>
          <w:vertAlign w:val="baseline"/>
          <w:lang w:val="en-US" w:eastAsia="zh-CN" w:bidi="ar-SA"/>
        </w:rPr>
        <w:t xml:space="preserve">附件4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578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海南财金集团主要业务简介</w:t>
      </w:r>
    </w:p>
    <w:p>
      <w:pPr>
        <w:widowControl w:val="0"/>
        <w:tabs>
          <w:tab w:val="left" w:pos="142"/>
        </w:tabs>
        <w:spacing w:line="578" w:lineRule="exact"/>
        <w:ind w:firstLine="640" w:firstLineChars="200"/>
        <w:jc w:val="both"/>
        <w:rPr>
          <w:rFonts w:hint="eastAsia" w:ascii="仿宋_GB2312" w:hAnsi="宋体" w:eastAsia="仿宋_GB2312" w:cs="仿宋"/>
          <w:b w:val="0"/>
          <w:bCs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宋体" w:eastAsia="仿宋_GB2312"/>
          <w:lang w:val="en-US" w:eastAsia="zh-CN"/>
        </w:rPr>
        <w:t>海南财金集团</w:t>
      </w:r>
      <w:r>
        <w:rPr>
          <w:rFonts w:hint="eastAsia" w:ascii="仿宋_GB2312" w:hAnsi="宋体" w:eastAsia="仿宋_GB2312" w:cs="仿宋"/>
          <w:b w:val="0"/>
          <w:bCs w:val="0"/>
          <w:sz w:val="32"/>
          <w:szCs w:val="32"/>
          <w:highlight w:val="none"/>
          <w:vertAlign w:val="baseline"/>
          <w:lang w:val="en-US" w:eastAsia="zh-CN" w:bidi="ar-SA"/>
        </w:rPr>
        <w:t>定位为省政府国有金融资本投资管理公司。围绕自贸港发展需求，初期已完成对自贸港建设基金</w:t>
      </w:r>
      <w:r>
        <w:rPr>
          <w:rFonts w:hint="eastAsia" w:ascii="仿宋_GB2312" w:hAnsi="宋体" w:eastAsia="仿宋_GB2312" w:cs="仿宋"/>
          <w:b w:val="0"/>
          <w:bCs w:val="0"/>
          <w:sz w:val="32"/>
          <w:szCs w:val="32"/>
          <w:vertAlign w:val="baseline"/>
          <w:lang w:val="en-US" w:eastAsia="zh-CN" w:bidi="ar-SA"/>
        </w:rPr>
        <w:t>及创新基金</w:t>
      </w:r>
      <w:r>
        <w:rPr>
          <w:rFonts w:hint="eastAsia" w:ascii="仿宋_GB2312" w:hAnsi="宋体" w:eastAsia="仿宋_GB2312" w:cs="仿宋"/>
          <w:b w:val="0"/>
          <w:bCs w:val="0"/>
          <w:sz w:val="32"/>
          <w:szCs w:val="32"/>
          <w:highlight w:val="none"/>
          <w:vertAlign w:val="baseline"/>
          <w:lang w:val="en-US" w:eastAsia="zh-CN" w:bidi="ar-SA"/>
        </w:rPr>
        <w:t>的出资设立，</w:t>
      </w:r>
      <w:r>
        <w:rPr>
          <w:rFonts w:hint="eastAsia" w:ascii="仿宋_GB2312" w:hAnsi="宋体" w:eastAsia="仿宋_GB2312" w:cs="仿宋"/>
          <w:b w:val="0"/>
          <w:bCs w:val="0"/>
          <w:sz w:val="32"/>
          <w:szCs w:val="32"/>
          <w:vertAlign w:val="baseline"/>
          <w:lang w:val="en-US" w:eastAsia="zh-CN" w:bidi="ar-SA"/>
        </w:rPr>
        <w:t>全力支持构建具有海南特色和优势的现代产业体系。</w:t>
      </w:r>
      <w:r>
        <w:rPr>
          <w:rFonts w:hint="eastAsia" w:ascii="仿宋_GB2312" w:hAnsi="宋体" w:eastAsia="仿宋_GB2312" w:cs="仿宋"/>
          <w:b w:val="0"/>
          <w:bCs w:val="0"/>
          <w:sz w:val="32"/>
          <w:szCs w:val="32"/>
          <w:highlight w:val="none"/>
          <w:vertAlign w:val="baseline"/>
          <w:lang w:val="en-US" w:eastAsia="zh-CN" w:bidi="ar-SA"/>
        </w:rPr>
        <w:t>同时，以股权投资管理为抓手，以金融服务创新为引擎，致力于将集团打造为集政府投资基金管理、金融股权投资和金融创新服务于一体的综合性平台。</w:t>
      </w:r>
      <w:r>
        <w:rPr>
          <w:rFonts w:hint="eastAsia" w:ascii="仿宋_GB2312" w:hAnsi="宋体" w:eastAsia="仿宋_GB2312"/>
          <w:lang w:val="en-US" w:eastAsia="zh-CN"/>
        </w:rPr>
        <w:t>海南财金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集团现为海南农商行第一大股东、登记结算公司第一大股东，且在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highlight w:val="none"/>
          <w:lang w:val="en-US" w:eastAsia="zh-CN"/>
        </w:rPr>
        <w:t>金融创新板块新设数金公司并承接划入的金财公司。</w:t>
      </w:r>
    </w:p>
    <w:p>
      <w:pPr>
        <w:pageBreakBefore w:val="0"/>
        <w:widowControl w:val="0"/>
        <w:numPr>
          <w:ilvl w:val="0"/>
          <w:numId w:val="1"/>
        </w:numPr>
        <w:tabs>
          <w:tab w:val="left" w:pos="142"/>
        </w:tabs>
        <w:kinsoku/>
        <w:overflowPunct/>
        <w:topLinePunct w:val="0"/>
        <w:autoSpaceDE/>
        <w:autoSpaceDN/>
        <w:bidi w:val="0"/>
        <w:spacing w:after="0" w:line="578" w:lineRule="exact"/>
        <w:ind w:left="794" w:leftChars="0" w:hanging="114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基金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投资类业务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lang w:val="en-US" w:eastAsia="zh-CN"/>
        </w:rPr>
      </w:pPr>
      <w:r>
        <w:rPr>
          <w:rFonts w:hint="eastAsia" w:ascii="仿宋_GB2312" w:hAnsi="宋体" w:eastAsia="仿宋_GB2312"/>
          <w:lang w:val="en-US" w:eastAsia="zh-CN"/>
        </w:rPr>
        <w:t>基金投资类业务主要围绕两只省级政府投资基金母基金展开，其中自贸港建设基金重点</w:t>
      </w:r>
      <w:r>
        <w:rPr>
          <w:rFonts w:hint="default" w:ascii="仿宋_GB2312" w:hAnsi="宋体" w:eastAsia="仿宋_GB2312"/>
          <w:lang w:val="en-US" w:eastAsia="zh-CN"/>
        </w:rPr>
        <w:t>支持</w:t>
      </w:r>
      <w:r>
        <w:rPr>
          <w:rFonts w:hint="eastAsia" w:ascii="仿宋_GB2312" w:hAnsi="宋体" w:eastAsia="仿宋_GB2312"/>
          <w:lang w:val="en-US" w:eastAsia="zh-CN"/>
        </w:rPr>
        <w:t>标志性、引领性项目的招引；创新基金</w:t>
      </w:r>
      <w:r>
        <w:rPr>
          <w:rFonts w:hint="default" w:ascii="仿宋_GB2312" w:hAnsi="宋体" w:eastAsia="仿宋_GB2312"/>
          <w:lang w:val="en-US" w:eastAsia="zh-CN"/>
        </w:rPr>
        <w:t>主要</w:t>
      </w:r>
      <w:r>
        <w:rPr>
          <w:rFonts w:hint="eastAsia" w:ascii="仿宋_GB2312" w:hAnsi="宋体" w:eastAsia="仿宋_GB2312"/>
          <w:lang w:val="en-US" w:eastAsia="zh-CN"/>
        </w:rPr>
        <w:t>投资支持种子期、初创期创业企业发展。两只基金原则上采用“母-子基金”投资方式运作，通过与社会资本合作设立子基金，支持自贸港产业发展。两者互相补充，合力覆盖企业发展的全生命周期。</w:t>
      </w:r>
    </w:p>
    <w:p>
      <w:pPr>
        <w:widowControl w:val="0"/>
        <w:numPr>
          <w:ilvl w:val="0"/>
          <w:numId w:val="0"/>
        </w:numPr>
        <w:tabs>
          <w:tab w:val="left" w:pos="142"/>
        </w:tabs>
        <w:spacing w:line="578" w:lineRule="exact"/>
        <w:ind w:firstLine="640"/>
        <w:jc w:val="both"/>
        <w:rPr>
          <w:rFonts w:hint="eastAsia"/>
          <w:lang w:val="en-US" w:eastAsia="zh-CN"/>
        </w:rPr>
      </w:pPr>
      <w:r>
        <w:rPr>
          <w:rFonts w:hint="eastAsia" w:ascii="仿宋_GB2312" w:hAnsi="宋体" w:eastAsia="仿宋_GB2312"/>
          <w:lang w:val="en-US" w:eastAsia="zh-CN"/>
        </w:rPr>
        <w:t>未来，海南财金集团将积极</w:t>
      </w:r>
      <w:r>
        <w:rPr>
          <w:rFonts w:hint="default" w:ascii="仿宋_GB2312" w:hAnsi="宋体" w:eastAsia="仿宋_GB2312"/>
          <w:lang w:val="en-US" w:eastAsia="zh-CN"/>
        </w:rPr>
        <w:t>探索</w:t>
      </w:r>
      <w:r>
        <w:rPr>
          <w:rFonts w:hint="eastAsia" w:ascii="仿宋_GB2312" w:hAnsi="宋体" w:eastAsia="仿宋_GB2312"/>
          <w:lang w:val="en-US" w:eastAsia="zh-CN"/>
        </w:rPr>
        <w:t>与境外投资机构合作设立QFLP、QDLP等涉外基金，支持自贸港更高水平对外开放。</w:t>
      </w:r>
    </w:p>
    <w:p>
      <w:pPr>
        <w:pageBreakBefore w:val="0"/>
        <w:widowControl w:val="0"/>
        <w:numPr>
          <w:ilvl w:val="0"/>
          <w:numId w:val="1"/>
        </w:numPr>
        <w:tabs>
          <w:tab w:val="left" w:pos="142"/>
        </w:tabs>
        <w:kinsoku/>
        <w:overflowPunct/>
        <w:topLinePunct w:val="0"/>
        <w:autoSpaceDE/>
        <w:autoSpaceDN/>
        <w:bidi w:val="0"/>
        <w:spacing w:after="0" w:line="578" w:lineRule="exact"/>
        <w:ind w:left="794" w:leftChars="0" w:hanging="114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金融股权投资类业务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lang w:val="en-US" w:eastAsia="zh-CN"/>
        </w:rPr>
      </w:pPr>
      <w:r>
        <w:rPr>
          <w:rFonts w:hint="eastAsia" w:ascii="仿宋_GB2312" w:hAnsi="宋体" w:eastAsia="仿宋_GB2312"/>
          <w:lang w:val="en-US" w:eastAsia="zh-CN"/>
        </w:rPr>
        <w:t>金融股权投资类业务主要通过控股或参股各类金融企业，开展专业化国有股权管理，优化国有金融资本布局、提升国有金融资本规模与实力。同时推动补齐金融要素短板，健全多层次金融服务体系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，做大做强国有金融资本，增强金融业综合竞争力及风险防范能力。</w:t>
      </w:r>
      <w:r>
        <w:rPr>
          <w:rFonts w:hint="eastAsia" w:ascii="仿宋_GB2312" w:hAnsi="宋体" w:eastAsia="仿宋_GB2312"/>
          <w:lang w:val="en-US" w:eastAsia="zh-CN"/>
        </w:rPr>
        <w:t>作为依托财政出资的国有金融资本投资管理公司，集团将发挥财政金融政策协同联动效应，助力积极财政政策加力提效。</w:t>
      </w:r>
    </w:p>
    <w:p>
      <w:pPr>
        <w:pageBreakBefore w:val="0"/>
        <w:widowControl w:val="0"/>
        <w:numPr>
          <w:ilvl w:val="0"/>
          <w:numId w:val="1"/>
        </w:numPr>
        <w:tabs>
          <w:tab w:val="left" w:pos="142"/>
        </w:tabs>
        <w:kinsoku/>
        <w:overflowPunct/>
        <w:topLinePunct w:val="0"/>
        <w:autoSpaceDE/>
        <w:autoSpaceDN/>
        <w:bidi w:val="0"/>
        <w:spacing w:after="0" w:line="578" w:lineRule="exact"/>
        <w:ind w:left="794" w:leftChars="0" w:hanging="114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债权投资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类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、直接投资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类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兼并重组类业务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lang w:val="en-US" w:eastAsia="zh-CN"/>
        </w:rPr>
      </w:pPr>
      <w:r>
        <w:rPr>
          <w:rFonts w:hint="eastAsia" w:ascii="仿宋_GB2312" w:hAnsi="宋体" w:eastAsia="仿宋_GB2312"/>
          <w:lang w:val="en-US" w:eastAsia="zh-CN"/>
        </w:rPr>
        <w:t>债权投资类业务主要围绕特殊资产投资、金融市场投资等投资业务开展，投资类型包括城市更新建设、基础设施投资、Pre-REITs/REITs、公募债/私募债、股权质押债权、应急转贷资金支持等相关投资项目。</w:t>
      </w:r>
    </w:p>
    <w:p>
      <w:pPr>
        <w:pageBreakBefore w:val="0"/>
        <w:widowControl w:val="0"/>
        <w:numPr>
          <w:ilvl w:val="0"/>
          <w:numId w:val="0"/>
        </w:numPr>
        <w:tabs>
          <w:tab w:val="left" w:pos="142"/>
        </w:tabs>
        <w:kinsoku/>
        <w:overflowPunct/>
        <w:topLinePunct w:val="0"/>
        <w:autoSpaceDE/>
        <w:autoSpaceDN/>
        <w:bidi w:val="0"/>
        <w:spacing w:after="0" w:line="578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lang w:val="en-US" w:eastAsia="zh-CN"/>
        </w:rPr>
        <w:t>直接投资类业务主要以自有资金或基金产品参与投资项目，投资方向包括一级资本市场投资、Pre-IPO与基石投资者投资、上市公司定增等项目。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lang w:val="en-US" w:eastAsia="zh-CN"/>
        </w:rPr>
      </w:pPr>
      <w:r>
        <w:rPr>
          <w:rFonts w:hint="eastAsia" w:ascii="仿宋_GB2312" w:hAnsi="宋体" w:eastAsia="仿宋_GB2312"/>
          <w:lang w:val="en-US" w:eastAsia="zh-CN"/>
        </w:rPr>
        <w:t>兼并重组类业务主要围绕海南省内上市公司，开展有关上市公司债务重整、上市公司并购重组等相关投资业务，并择机收购优质省外上市公司，实现资源导入与业务协同。</w:t>
      </w:r>
    </w:p>
    <w:p>
      <w:pPr>
        <w:pageBreakBefore w:val="0"/>
        <w:widowControl w:val="0"/>
        <w:numPr>
          <w:ilvl w:val="0"/>
          <w:numId w:val="1"/>
        </w:numPr>
        <w:tabs>
          <w:tab w:val="left" w:pos="142"/>
        </w:tabs>
        <w:kinsoku/>
        <w:overflowPunct/>
        <w:topLinePunct w:val="0"/>
        <w:autoSpaceDE/>
        <w:autoSpaceDN/>
        <w:bidi w:val="0"/>
        <w:spacing w:after="0" w:line="578" w:lineRule="exact"/>
        <w:ind w:left="794" w:leftChars="0" w:hanging="114" w:firstLineChars="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涉外业务类业务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ind w:firstLine="640" w:firstLineChars="200"/>
        <w:jc w:val="both"/>
        <w:textAlignment w:val="auto"/>
      </w:pPr>
      <w:r>
        <w:rPr>
          <w:rFonts w:hint="eastAsia" w:ascii="仿宋_GB2312" w:hAnsi="宋体" w:eastAsia="仿宋_GB2312"/>
          <w:highlight w:val="none"/>
          <w:lang w:val="en-US" w:eastAsia="zh-CN"/>
        </w:rPr>
        <w:t>海南财金集团正在积极</w:t>
      </w:r>
      <w:r>
        <w:rPr>
          <w:rFonts w:hint="default" w:ascii="仿宋_GB2312" w:hAnsi="宋体" w:eastAsia="仿宋_GB2312"/>
          <w:highlight w:val="none"/>
          <w:lang w:val="en-US" w:eastAsia="zh-CN"/>
        </w:rPr>
        <w:t>探索</w:t>
      </w:r>
      <w:r>
        <w:rPr>
          <w:rFonts w:hint="eastAsia" w:ascii="仿宋_GB2312" w:hAnsi="宋体" w:eastAsia="仿宋_GB2312"/>
          <w:highlight w:val="none"/>
          <w:lang w:val="en-US" w:eastAsia="zh-CN"/>
        </w:rPr>
        <w:t>以下涉外业务：一是在中国香港、新加坡等境外地区设立投资平台，构建国际化投资网</w:t>
      </w:r>
      <w:bookmarkStart w:id="0" w:name="_GoBack"/>
      <w:bookmarkEnd w:id="0"/>
      <w:r>
        <w:rPr>
          <w:rFonts w:hint="eastAsia" w:ascii="仿宋_GB2312" w:hAnsi="宋体" w:eastAsia="仿宋_GB2312"/>
          <w:highlight w:val="none"/>
          <w:lang w:val="en-US" w:eastAsia="zh-CN"/>
        </w:rPr>
        <w:t>络，助力对接全球资源与市场；二是对中国香港、东南亚、欧美等境外地区的项目开展直接投资，覆盖多区域、多领域的优质投资机会；三是积极推动与中东、东南亚等地区的境外机构相关合作，拓展国际合作的广度与深度；四是上述涉外业务范围之外的其他国际业务布局与探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50E7A7"/>
    <w:multiLevelType w:val="singleLevel"/>
    <w:tmpl w:val="FB50E7A7"/>
    <w:lvl w:ilvl="0" w:tentative="0">
      <w:start w:val="1"/>
      <w:numFmt w:val="chineseCounting"/>
      <w:suff w:val="nothing"/>
      <w:lvlText w:val="%1、"/>
      <w:lvlJc w:val="left"/>
      <w:pPr>
        <w:ind w:left="794" w:leftChars="0" w:hanging="114" w:firstLineChars="0"/>
      </w:pPr>
      <w:rPr>
        <w:rFonts w:hint="eastAsia" w:ascii="黑体" w:hAnsi="黑体" w:eastAsia="黑体" w:cs="黑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CA0FFD"/>
    <w:rsid w:val="0001319F"/>
    <w:rsid w:val="00216052"/>
    <w:rsid w:val="006A1A04"/>
    <w:rsid w:val="017324CB"/>
    <w:rsid w:val="01B9160A"/>
    <w:rsid w:val="01CC058E"/>
    <w:rsid w:val="025B6E0A"/>
    <w:rsid w:val="02AA2617"/>
    <w:rsid w:val="02D9523F"/>
    <w:rsid w:val="03126383"/>
    <w:rsid w:val="03A22CE3"/>
    <w:rsid w:val="03A4123A"/>
    <w:rsid w:val="03AA3B0C"/>
    <w:rsid w:val="047C2843"/>
    <w:rsid w:val="049D5191"/>
    <w:rsid w:val="04A4550F"/>
    <w:rsid w:val="04B932C4"/>
    <w:rsid w:val="04F119EA"/>
    <w:rsid w:val="04FA7896"/>
    <w:rsid w:val="05F91B45"/>
    <w:rsid w:val="060C4BC4"/>
    <w:rsid w:val="065628AE"/>
    <w:rsid w:val="06B57A6A"/>
    <w:rsid w:val="074F512A"/>
    <w:rsid w:val="07B945BA"/>
    <w:rsid w:val="07FC6B63"/>
    <w:rsid w:val="08543C30"/>
    <w:rsid w:val="08E645C5"/>
    <w:rsid w:val="09587D64"/>
    <w:rsid w:val="09B440CB"/>
    <w:rsid w:val="0A311D6D"/>
    <w:rsid w:val="0ABE6843"/>
    <w:rsid w:val="0AED2F09"/>
    <w:rsid w:val="0B5F4D4F"/>
    <w:rsid w:val="0B651D82"/>
    <w:rsid w:val="0BBD1EBF"/>
    <w:rsid w:val="0C44661B"/>
    <w:rsid w:val="0C5446C3"/>
    <w:rsid w:val="0D2030DF"/>
    <w:rsid w:val="0D2170FA"/>
    <w:rsid w:val="0DAF7BE3"/>
    <w:rsid w:val="0E9771B2"/>
    <w:rsid w:val="0EB14B2C"/>
    <w:rsid w:val="0EE5524B"/>
    <w:rsid w:val="0F141E35"/>
    <w:rsid w:val="0F5E23AF"/>
    <w:rsid w:val="0F871776"/>
    <w:rsid w:val="0FC07072"/>
    <w:rsid w:val="101142D7"/>
    <w:rsid w:val="103F6952"/>
    <w:rsid w:val="113C1FA1"/>
    <w:rsid w:val="1165356B"/>
    <w:rsid w:val="118729B2"/>
    <w:rsid w:val="11B23BC2"/>
    <w:rsid w:val="126D1757"/>
    <w:rsid w:val="127E1722"/>
    <w:rsid w:val="12BC27F4"/>
    <w:rsid w:val="13037289"/>
    <w:rsid w:val="135838DE"/>
    <w:rsid w:val="13813A8E"/>
    <w:rsid w:val="13D76DE3"/>
    <w:rsid w:val="144929E2"/>
    <w:rsid w:val="14AF653D"/>
    <w:rsid w:val="155C06D9"/>
    <w:rsid w:val="15A03A2E"/>
    <w:rsid w:val="15AB51C4"/>
    <w:rsid w:val="15C874B4"/>
    <w:rsid w:val="15CB14E0"/>
    <w:rsid w:val="16891566"/>
    <w:rsid w:val="177A15B6"/>
    <w:rsid w:val="17901C07"/>
    <w:rsid w:val="179324EE"/>
    <w:rsid w:val="180164FB"/>
    <w:rsid w:val="181F349A"/>
    <w:rsid w:val="186B6987"/>
    <w:rsid w:val="187B231E"/>
    <w:rsid w:val="18942462"/>
    <w:rsid w:val="197F05F5"/>
    <w:rsid w:val="19C656E7"/>
    <w:rsid w:val="19E83217"/>
    <w:rsid w:val="1A1A2836"/>
    <w:rsid w:val="1A763B4C"/>
    <w:rsid w:val="1B38230D"/>
    <w:rsid w:val="1B6754B3"/>
    <w:rsid w:val="1B961932"/>
    <w:rsid w:val="1B984096"/>
    <w:rsid w:val="1C40534E"/>
    <w:rsid w:val="1C4B03FE"/>
    <w:rsid w:val="1C5576AD"/>
    <w:rsid w:val="1C6C1E11"/>
    <w:rsid w:val="1CA72A74"/>
    <w:rsid w:val="1CDE7084"/>
    <w:rsid w:val="1D357930"/>
    <w:rsid w:val="1D7630F4"/>
    <w:rsid w:val="1DC51CF4"/>
    <w:rsid w:val="1DCD517D"/>
    <w:rsid w:val="1E955E4D"/>
    <w:rsid w:val="1F472A5F"/>
    <w:rsid w:val="1F9A7DAB"/>
    <w:rsid w:val="1FB632C1"/>
    <w:rsid w:val="1FB9676A"/>
    <w:rsid w:val="1FD34535"/>
    <w:rsid w:val="1FE034AD"/>
    <w:rsid w:val="202C6149"/>
    <w:rsid w:val="215D6B88"/>
    <w:rsid w:val="2254599C"/>
    <w:rsid w:val="228A6AEB"/>
    <w:rsid w:val="22CB7A9A"/>
    <w:rsid w:val="233B06A6"/>
    <w:rsid w:val="23496EDE"/>
    <w:rsid w:val="240E299E"/>
    <w:rsid w:val="242A7079"/>
    <w:rsid w:val="2465164D"/>
    <w:rsid w:val="24905C84"/>
    <w:rsid w:val="252B27EF"/>
    <w:rsid w:val="253B0312"/>
    <w:rsid w:val="26074678"/>
    <w:rsid w:val="264045F4"/>
    <w:rsid w:val="265D2E2F"/>
    <w:rsid w:val="26A20BA9"/>
    <w:rsid w:val="276B3589"/>
    <w:rsid w:val="27766C42"/>
    <w:rsid w:val="279E556D"/>
    <w:rsid w:val="2886737B"/>
    <w:rsid w:val="29343E03"/>
    <w:rsid w:val="29740E61"/>
    <w:rsid w:val="2989176A"/>
    <w:rsid w:val="299D41E5"/>
    <w:rsid w:val="29A20CB3"/>
    <w:rsid w:val="2A01721B"/>
    <w:rsid w:val="2A65095E"/>
    <w:rsid w:val="2AF41A10"/>
    <w:rsid w:val="2C074F8C"/>
    <w:rsid w:val="2C3C1DB3"/>
    <w:rsid w:val="2CB16635"/>
    <w:rsid w:val="2CB36FFC"/>
    <w:rsid w:val="2CBE76D3"/>
    <w:rsid w:val="2D4214BF"/>
    <w:rsid w:val="2D52165D"/>
    <w:rsid w:val="2D667F7C"/>
    <w:rsid w:val="2E5C37B7"/>
    <w:rsid w:val="2E7953E4"/>
    <w:rsid w:val="2F071AF2"/>
    <w:rsid w:val="2F081F2B"/>
    <w:rsid w:val="2F7109E7"/>
    <w:rsid w:val="2F8E0CA0"/>
    <w:rsid w:val="2F916A56"/>
    <w:rsid w:val="2FBC0050"/>
    <w:rsid w:val="306B6A1A"/>
    <w:rsid w:val="313A7AF8"/>
    <w:rsid w:val="313E34CD"/>
    <w:rsid w:val="31433D70"/>
    <w:rsid w:val="31730169"/>
    <w:rsid w:val="319466ED"/>
    <w:rsid w:val="31E837B3"/>
    <w:rsid w:val="32204137"/>
    <w:rsid w:val="322D3449"/>
    <w:rsid w:val="33212A15"/>
    <w:rsid w:val="34104227"/>
    <w:rsid w:val="344F690F"/>
    <w:rsid w:val="3474232C"/>
    <w:rsid w:val="347D4780"/>
    <w:rsid w:val="3483365F"/>
    <w:rsid w:val="34A84AD1"/>
    <w:rsid w:val="35496D0B"/>
    <w:rsid w:val="358F4121"/>
    <w:rsid w:val="35971CD0"/>
    <w:rsid w:val="35B21B5A"/>
    <w:rsid w:val="3650729F"/>
    <w:rsid w:val="378D6929"/>
    <w:rsid w:val="37F701E2"/>
    <w:rsid w:val="37F833A1"/>
    <w:rsid w:val="381F5BB9"/>
    <w:rsid w:val="38555F27"/>
    <w:rsid w:val="38603BFE"/>
    <w:rsid w:val="38945739"/>
    <w:rsid w:val="38C02B59"/>
    <w:rsid w:val="38E725B8"/>
    <w:rsid w:val="38F21E1E"/>
    <w:rsid w:val="392F1F32"/>
    <w:rsid w:val="3944182D"/>
    <w:rsid w:val="397878A0"/>
    <w:rsid w:val="39D5029C"/>
    <w:rsid w:val="3A970B3A"/>
    <w:rsid w:val="3A9A2A59"/>
    <w:rsid w:val="3B343EB9"/>
    <w:rsid w:val="3B743B58"/>
    <w:rsid w:val="3BCA0E41"/>
    <w:rsid w:val="3BFA7FCA"/>
    <w:rsid w:val="3C6472A5"/>
    <w:rsid w:val="3D5C0F7E"/>
    <w:rsid w:val="3E2D453D"/>
    <w:rsid w:val="3E36145D"/>
    <w:rsid w:val="3E6103CA"/>
    <w:rsid w:val="3E9809CF"/>
    <w:rsid w:val="3ECA0FFD"/>
    <w:rsid w:val="3F0B46FD"/>
    <w:rsid w:val="3F5178A9"/>
    <w:rsid w:val="3F593F9C"/>
    <w:rsid w:val="3F7C742C"/>
    <w:rsid w:val="3FF4401A"/>
    <w:rsid w:val="403658FE"/>
    <w:rsid w:val="40562618"/>
    <w:rsid w:val="406E6079"/>
    <w:rsid w:val="40DC5BE5"/>
    <w:rsid w:val="410400FB"/>
    <w:rsid w:val="412E6F45"/>
    <w:rsid w:val="41354B53"/>
    <w:rsid w:val="41915D55"/>
    <w:rsid w:val="41FD2AF8"/>
    <w:rsid w:val="42E110DC"/>
    <w:rsid w:val="43146D3E"/>
    <w:rsid w:val="4317362C"/>
    <w:rsid w:val="43545886"/>
    <w:rsid w:val="44456585"/>
    <w:rsid w:val="44815F53"/>
    <w:rsid w:val="448E74FD"/>
    <w:rsid w:val="45430F69"/>
    <w:rsid w:val="45C31210"/>
    <w:rsid w:val="45D74F7B"/>
    <w:rsid w:val="46032841"/>
    <w:rsid w:val="46093CD7"/>
    <w:rsid w:val="461A4492"/>
    <w:rsid w:val="467F416B"/>
    <w:rsid w:val="46E63810"/>
    <w:rsid w:val="4792367E"/>
    <w:rsid w:val="47F85BEC"/>
    <w:rsid w:val="48663CB6"/>
    <w:rsid w:val="48883C22"/>
    <w:rsid w:val="48C57B5B"/>
    <w:rsid w:val="48CA7B79"/>
    <w:rsid w:val="48CD7D4F"/>
    <w:rsid w:val="490A6920"/>
    <w:rsid w:val="497E5861"/>
    <w:rsid w:val="4997583D"/>
    <w:rsid w:val="49A4380A"/>
    <w:rsid w:val="49A55866"/>
    <w:rsid w:val="49BE7AF9"/>
    <w:rsid w:val="4A10646D"/>
    <w:rsid w:val="4A253F7E"/>
    <w:rsid w:val="4AD3519E"/>
    <w:rsid w:val="4AF34DB9"/>
    <w:rsid w:val="4AF35380"/>
    <w:rsid w:val="4BA70BD9"/>
    <w:rsid w:val="4BBC2EC6"/>
    <w:rsid w:val="4D245612"/>
    <w:rsid w:val="4DC4551A"/>
    <w:rsid w:val="4DE75A3C"/>
    <w:rsid w:val="4ED02FCC"/>
    <w:rsid w:val="4F6A4256"/>
    <w:rsid w:val="4F6E044C"/>
    <w:rsid w:val="4FB662EE"/>
    <w:rsid w:val="506D4A7B"/>
    <w:rsid w:val="506E2FD1"/>
    <w:rsid w:val="50773852"/>
    <w:rsid w:val="521061DD"/>
    <w:rsid w:val="52466B36"/>
    <w:rsid w:val="5270630D"/>
    <w:rsid w:val="52837780"/>
    <w:rsid w:val="52E05827"/>
    <w:rsid w:val="534C627E"/>
    <w:rsid w:val="534F4DA9"/>
    <w:rsid w:val="5368036A"/>
    <w:rsid w:val="53D342BA"/>
    <w:rsid w:val="53DC0D4B"/>
    <w:rsid w:val="541C0920"/>
    <w:rsid w:val="543D6853"/>
    <w:rsid w:val="547302A4"/>
    <w:rsid w:val="548663A5"/>
    <w:rsid w:val="54A50630"/>
    <w:rsid w:val="551E24E6"/>
    <w:rsid w:val="55262C3D"/>
    <w:rsid w:val="55CE33DF"/>
    <w:rsid w:val="5658327A"/>
    <w:rsid w:val="56AB2EB5"/>
    <w:rsid w:val="56CD46F2"/>
    <w:rsid w:val="570B3DF6"/>
    <w:rsid w:val="5732113C"/>
    <w:rsid w:val="57706603"/>
    <w:rsid w:val="58534CF3"/>
    <w:rsid w:val="58921661"/>
    <w:rsid w:val="58A27AE2"/>
    <w:rsid w:val="590B7242"/>
    <w:rsid w:val="590C7E94"/>
    <w:rsid w:val="592834D7"/>
    <w:rsid w:val="5934358F"/>
    <w:rsid w:val="59400F2C"/>
    <w:rsid w:val="5960261A"/>
    <w:rsid w:val="5960449B"/>
    <w:rsid w:val="59661DAB"/>
    <w:rsid w:val="59AF2530"/>
    <w:rsid w:val="59B102E9"/>
    <w:rsid w:val="5A1441C0"/>
    <w:rsid w:val="5A256988"/>
    <w:rsid w:val="5AC16331"/>
    <w:rsid w:val="5AEA3AFC"/>
    <w:rsid w:val="5BDB11D6"/>
    <w:rsid w:val="5C5D163C"/>
    <w:rsid w:val="5CEB29F8"/>
    <w:rsid w:val="5CED09E4"/>
    <w:rsid w:val="5D2A495D"/>
    <w:rsid w:val="5DC21585"/>
    <w:rsid w:val="5DD76206"/>
    <w:rsid w:val="5E166B86"/>
    <w:rsid w:val="5E647CA7"/>
    <w:rsid w:val="5E6F41CC"/>
    <w:rsid w:val="5F040FCD"/>
    <w:rsid w:val="606F1496"/>
    <w:rsid w:val="620B389D"/>
    <w:rsid w:val="625F0572"/>
    <w:rsid w:val="62891CE0"/>
    <w:rsid w:val="62A57C4A"/>
    <w:rsid w:val="62C00027"/>
    <w:rsid w:val="62CC4927"/>
    <w:rsid w:val="62D848E2"/>
    <w:rsid w:val="631E5204"/>
    <w:rsid w:val="6325778F"/>
    <w:rsid w:val="632F5F7A"/>
    <w:rsid w:val="63746BE7"/>
    <w:rsid w:val="63B714A9"/>
    <w:rsid w:val="63DF011F"/>
    <w:rsid w:val="64C37ABA"/>
    <w:rsid w:val="65B863B3"/>
    <w:rsid w:val="65C23990"/>
    <w:rsid w:val="66133C13"/>
    <w:rsid w:val="66A57BDC"/>
    <w:rsid w:val="678E6FD1"/>
    <w:rsid w:val="67B05FE2"/>
    <w:rsid w:val="67F27BA0"/>
    <w:rsid w:val="68446CAF"/>
    <w:rsid w:val="68C076B3"/>
    <w:rsid w:val="68D51920"/>
    <w:rsid w:val="69D355D6"/>
    <w:rsid w:val="69DA633C"/>
    <w:rsid w:val="6B0C784C"/>
    <w:rsid w:val="6B210053"/>
    <w:rsid w:val="6B837466"/>
    <w:rsid w:val="6BC71406"/>
    <w:rsid w:val="6C460824"/>
    <w:rsid w:val="6C4E2403"/>
    <w:rsid w:val="6C6B63E8"/>
    <w:rsid w:val="6C8657B3"/>
    <w:rsid w:val="6D1A45CF"/>
    <w:rsid w:val="6E810530"/>
    <w:rsid w:val="6EA54025"/>
    <w:rsid w:val="6EB2002D"/>
    <w:rsid w:val="6EC6405B"/>
    <w:rsid w:val="6ECB5E2C"/>
    <w:rsid w:val="6EDA36AB"/>
    <w:rsid w:val="6F1B6E81"/>
    <w:rsid w:val="70211BF2"/>
    <w:rsid w:val="703B701D"/>
    <w:rsid w:val="7081125D"/>
    <w:rsid w:val="70973690"/>
    <w:rsid w:val="71083068"/>
    <w:rsid w:val="71D92CF3"/>
    <w:rsid w:val="72180CFD"/>
    <w:rsid w:val="72582AB7"/>
    <w:rsid w:val="72D16724"/>
    <w:rsid w:val="73146666"/>
    <w:rsid w:val="731E6CFB"/>
    <w:rsid w:val="73B8178D"/>
    <w:rsid w:val="73CC6AB9"/>
    <w:rsid w:val="73D74117"/>
    <w:rsid w:val="73ED59A3"/>
    <w:rsid w:val="74351AE4"/>
    <w:rsid w:val="74D23F9E"/>
    <w:rsid w:val="74EA5EEA"/>
    <w:rsid w:val="750C7C98"/>
    <w:rsid w:val="75D755A1"/>
    <w:rsid w:val="75E42248"/>
    <w:rsid w:val="75E52D4F"/>
    <w:rsid w:val="76B54C76"/>
    <w:rsid w:val="771A7E91"/>
    <w:rsid w:val="775C09BC"/>
    <w:rsid w:val="77807521"/>
    <w:rsid w:val="77B34B16"/>
    <w:rsid w:val="77C84A8A"/>
    <w:rsid w:val="77DE3D24"/>
    <w:rsid w:val="77E40715"/>
    <w:rsid w:val="782A72B2"/>
    <w:rsid w:val="78CC11A6"/>
    <w:rsid w:val="78E91FD5"/>
    <w:rsid w:val="78F649AB"/>
    <w:rsid w:val="79095BE6"/>
    <w:rsid w:val="7930092A"/>
    <w:rsid w:val="79563FBD"/>
    <w:rsid w:val="7A1B33CE"/>
    <w:rsid w:val="7A275818"/>
    <w:rsid w:val="7A323A46"/>
    <w:rsid w:val="7A894713"/>
    <w:rsid w:val="7AFC4B00"/>
    <w:rsid w:val="7B1D6CE3"/>
    <w:rsid w:val="7B3267F9"/>
    <w:rsid w:val="7B865D3B"/>
    <w:rsid w:val="7B8D2EA4"/>
    <w:rsid w:val="7BA14CE1"/>
    <w:rsid w:val="7BE70C81"/>
    <w:rsid w:val="7C367BC8"/>
    <w:rsid w:val="7C3D1378"/>
    <w:rsid w:val="7C4F6E8A"/>
    <w:rsid w:val="7C826DC3"/>
    <w:rsid w:val="7C9C6219"/>
    <w:rsid w:val="7D024E58"/>
    <w:rsid w:val="7D123E6C"/>
    <w:rsid w:val="7D146F18"/>
    <w:rsid w:val="7D5A1800"/>
    <w:rsid w:val="7D865A49"/>
    <w:rsid w:val="7DAB15BE"/>
    <w:rsid w:val="7DB913CC"/>
    <w:rsid w:val="7DBF451A"/>
    <w:rsid w:val="7E4A31FF"/>
    <w:rsid w:val="7EC21FF3"/>
    <w:rsid w:val="7F445197"/>
    <w:rsid w:val="7FBB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60" w:line="560" w:lineRule="exact"/>
      <w:ind w:firstLine="200" w:firstLineChars="200"/>
    </w:pPr>
    <w:rPr>
      <w:rFonts w:ascii="仿宋" w:hAnsi="仿宋" w:eastAsia="仿宋" w:cs="仿宋"/>
      <w:sz w:val="32"/>
      <w:szCs w:val="3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0"/>
    <w:rPr>
      <w:rFonts w:ascii="Times New Roman" w:hAnsi="Times New Roman" w:eastAsia="宋体" w:cs="Times New Roman"/>
      <w:sz w:val="22"/>
      <w:szCs w:val="22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1021</Words>
  <Characters>1047</Characters>
  <Lines>0</Lines>
  <Paragraphs>0</Paragraphs>
  <TotalTime>1</TotalTime>
  <ScaleCrop>false</ScaleCrop>
  <LinksUpToDate>false</LinksUpToDate>
  <CharactersWithSpaces>1048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2026-07-29T08:45:00Z</dcterms:created>
  <dc:creator>张宛琪</dc:creator>
  <cp:lastModifiedBy>张宛琪</cp:lastModifiedBy>
  <dcterms:modified xsi:type="dcterms:W3CDTF">2026-07-29T08:49:11Z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4E819CD2C9D94CDF966F1CEBCB4B4A45</vt:lpwstr>
  </property>
</Properties>
</file>